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A251D" w:rsidRDefault="00020D6B">
      <w:pPr>
        <w:spacing w:after="0"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-222808</wp:posOffset>
                </wp:positionH>
                <wp:positionV relativeFrom="paragraph">
                  <wp:posOffset>-173735</wp:posOffset>
                </wp:positionV>
                <wp:extent cx="2604516" cy="1194816"/>
                <wp:effectExtent l="0" t="0" r="0" b="0"/>
                <wp:wrapSquare wrapText="bothSides"/>
                <wp:docPr id="1363" name="Group 1363"/>
                <wp:cNvGraphicFramePr/>
                <a:graphic xmlns:a="http://schemas.openxmlformats.org/drawingml/2006/main">
                  <a:graphicData uri="http://schemas.microsoft.com/office/word/2010/wordprocessingGroup">
                    <wpg:wgp>
                      <wpg:cNvGrpSpPr/>
                      <wpg:grpSpPr>
                        <a:xfrm>
                          <a:off x="0" y="0"/>
                          <a:ext cx="2604516" cy="1194816"/>
                          <a:chOff x="0" y="0"/>
                          <a:chExt cx="2604516" cy="1194816"/>
                        </a:xfrm>
                      </wpg:grpSpPr>
                      <pic:pic xmlns:pic="http://schemas.openxmlformats.org/drawingml/2006/picture">
                        <pic:nvPicPr>
                          <pic:cNvPr id="103" name="Picture 103"/>
                          <pic:cNvPicPr/>
                        </pic:nvPicPr>
                        <pic:blipFill>
                          <a:blip r:embed="rId5"/>
                          <a:stretch>
                            <a:fillRect/>
                          </a:stretch>
                        </pic:blipFill>
                        <pic:spPr>
                          <a:xfrm>
                            <a:off x="1059180" y="94488"/>
                            <a:ext cx="1545336" cy="845820"/>
                          </a:xfrm>
                          <a:prstGeom prst="rect">
                            <a:avLst/>
                          </a:prstGeom>
                        </pic:spPr>
                      </pic:pic>
                      <pic:pic xmlns:pic="http://schemas.openxmlformats.org/drawingml/2006/picture">
                        <pic:nvPicPr>
                          <pic:cNvPr id="105" name="Picture 105"/>
                          <pic:cNvPicPr/>
                        </pic:nvPicPr>
                        <pic:blipFill>
                          <a:blip r:embed="rId6"/>
                          <a:stretch>
                            <a:fillRect/>
                          </a:stretch>
                        </pic:blipFill>
                        <pic:spPr>
                          <a:xfrm>
                            <a:off x="0" y="0"/>
                            <a:ext cx="999744" cy="1194816"/>
                          </a:xfrm>
                          <a:prstGeom prst="rect">
                            <a:avLst/>
                          </a:prstGeom>
                        </pic:spPr>
                      </pic:pic>
                    </wpg:wgp>
                  </a:graphicData>
                </a:graphic>
              </wp:anchor>
            </w:drawing>
          </mc:Choice>
          <mc:Fallback xmlns:a="http://schemas.openxmlformats.org/drawingml/2006/main">
            <w:pict>
              <v:group id="Group 1363" style="width:205.08pt;height:94.08pt;position:absolute;mso-position-horizontal-relative:text;mso-position-horizontal:absolute;margin-left:-17.544pt;mso-position-vertical-relative:text;margin-top:-13.68pt;" coordsize="26045,11948">
                <v:shape id="Picture 103" style="position:absolute;width:15453;height:8458;left:10591;top:944;" filled="f">
                  <v:imagedata r:id="rId7"/>
                </v:shape>
                <v:shape id="Picture 105" style="position:absolute;width:9997;height:11948;left:0;top:0;" filled="f">
                  <v:imagedata r:id="rId8"/>
                </v:shape>
                <w10:wrap type="square"/>
              </v:group>
            </w:pict>
          </mc:Fallback>
        </mc:AlternateContent>
      </w:r>
      <w:r>
        <w:rPr>
          <w:rFonts w:ascii="Calibri" w:eastAsia="Calibri" w:hAnsi="Calibri" w:cs="Calibri"/>
          <w:sz w:val="22"/>
        </w:rPr>
        <w:t xml:space="preserve"> </w:t>
      </w:r>
    </w:p>
    <w:p w:rsidR="003A251D" w:rsidRDefault="00020D6B">
      <w:pPr>
        <w:spacing w:after="0" w:line="259" w:lineRule="auto"/>
        <w:ind w:left="0" w:right="0" w:firstLine="0"/>
        <w:jc w:val="right"/>
      </w:pPr>
      <w:r>
        <w:rPr>
          <w:rFonts w:ascii="Calibri" w:eastAsia="Calibri" w:hAnsi="Calibri" w:cs="Calibri"/>
          <w:sz w:val="22"/>
        </w:rPr>
        <w:t xml:space="preserve"> </w:t>
      </w:r>
    </w:p>
    <w:p w:rsidR="003A251D" w:rsidRDefault="00020D6B">
      <w:pPr>
        <w:spacing w:after="0" w:line="259" w:lineRule="auto"/>
        <w:ind w:left="0" w:right="0" w:firstLine="0"/>
        <w:jc w:val="right"/>
      </w:pPr>
      <w:r>
        <w:rPr>
          <w:rFonts w:ascii="Calibri" w:eastAsia="Calibri" w:hAnsi="Calibri" w:cs="Calibri"/>
          <w:sz w:val="22"/>
        </w:rPr>
        <w:t xml:space="preserve"> </w:t>
      </w:r>
    </w:p>
    <w:p w:rsidR="003A251D" w:rsidRDefault="00020D6B">
      <w:pPr>
        <w:spacing w:after="0" w:line="259" w:lineRule="auto"/>
        <w:ind w:left="0" w:right="0" w:firstLine="0"/>
        <w:jc w:val="right"/>
      </w:pPr>
      <w:r>
        <w:rPr>
          <w:rFonts w:ascii="Calibri" w:eastAsia="Calibri" w:hAnsi="Calibri" w:cs="Calibri"/>
          <w:sz w:val="22"/>
        </w:rPr>
        <w:t xml:space="preserve"> </w:t>
      </w:r>
    </w:p>
    <w:p w:rsidR="003A251D" w:rsidRDefault="00020D6B">
      <w:pPr>
        <w:spacing w:after="0" w:line="259" w:lineRule="auto"/>
        <w:ind w:left="0" w:right="0" w:firstLine="0"/>
        <w:jc w:val="right"/>
      </w:pPr>
      <w:r>
        <w:rPr>
          <w:rFonts w:ascii="Calibri" w:eastAsia="Calibri" w:hAnsi="Calibri" w:cs="Calibri"/>
          <w:sz w:val="22"/>
        </w:rPr>
        <w:t xml:space="preserve"> </w:t>
      </w:r>
    </w:p>
    <w:p w:rsidR="003A251D" w:rsidRDefault="00020D6B">
      <w:pPr>
        <w:spacing w:after="38" w:line="259" w:lineRule="auto"/>
        <w:ind w:left="0" w:right="48" w:firstLine="0"/>
        <w:jc w:val="right"/>
      </w:pPr>
      <w:r>
        <w:rPr>
          <w:rFonts w:ascii="Calibri" w:eastAsia="Calibri" w:hAnsi="Calibri" w:cs="Calibri"/>
          <w:sz w:val="22"/>
        </w:rPr>
        <w:t xml:space="preserve">Comunicado de Prensa </w:t>
      </w:r>
    </w:p>
    <w:p w:rsidR="003A251D" w:rsidRDefault="00020D6B">
      <w:pPr>
        <w:spacing w:after="0" w:line="259" w:lineRule="auto"/>
        <w:ind w:left="13" w:right="0" w:firstLine="0"/>
        <w:jc w:val="center"/>
      </w:pPr>
      <w:r>
        <w:rPr>
          <w:rFonts w:ascii="Calibri" w:eastAsia="Calibri" w:hAnsi="Calibri" w:cs="Calibri"/>
          <w:i/>
          <w:sz w:val="28"/>
        </w:rPr>
        <w:t xml:space="preserve"> </w:t>
      </w:r>
    </w:p>
    <w:p w:rsidR="003A251D" w:rsidRDefault="00020D6B">
      <w:pPr>
        <w:spacing w:after="81" w:line="259" w:lineRule="auto"/>
        <w:ind w:left="657" w:right="0" w:firstLine="0"/>
        <w:jc w:val="center"/>
      </w:pPr>
      <w:r>
        <w:rPr>
          <w:rFonts w:ascii="Calibri" w:eastAsia="Calibri" w:hAnsi="Calibri" w:cs="Calibri"/>
          <w:i/>
          <w:sz w:val="28"/>
          <w:u w:val="single" w:color="000000"/>
        </w:rPr>
        <w:t>Producto de la gestión comunal</w:t>
      </w:r>
      <w:r>
        <w:rPr>
          <w:rFonts w:ascii="Calibri" w:eastAsia="Calibri" w:hAnsi="Calibri" w:cs="Calibri"/>
          <w:i/>
          <w:sz w:val="28"/>
        </w:rPr>
        <w:t xml:space="preserve"> </w:t>
      </w:r>
    </w:p>
    <w:p w:rsidR="003A251D" w:rsidRDefault="00020D6B">
      <w:pPr>
        <w:spacing w:after="0"/>
        <w:ind w:left="0" w:right="0" w:firstLine="0"/>
        <w:jc w:val="center"/>
      </w:pPr>
      <w:proofErr w:type="spellStart"/>
      <w:r>
        <w:rPr>
          <w:b/>
          <w:sz w:val="40"/>
        </w:rPr>
        <w:t>Talolinga</w:t>
      </w:r>
      <w:proofErr w:type="spellEnd"/>
      <w:r>
        <w:rPr>
          <w:b/>
          <w:sz w:val="40"/>
        </w:rPr>
        <w:t xml:space="preserve"> de Nicoya recibe proyecto de salón multiusos para atención médica y de emergencias  </w:t>
      </w:r>
    </w:p>
    <w:p w:rsidR="003A251D" w:rsidRDefault="00020D6B">
      <w:pPr>
        <w:spacing w:after="325" w:line="259" w:lineRule="auto"/>
        <w:ind w:left="0" w:right="5" w:firstLine="0"/>
        <w:jc w:val="center"/>
      </w:pPr>
      <w:r>
        <w:rPr>
          <w:b/>
          <w:sz w:val="20"/>
        </w:rPr>
        <w:t xml:space="preserve"> </w:t>
      </w:r>
    </w:p>
    <w:p w:rsidR="003A251D" w:rsidRDefault="00020D6B">
      <w:pPr>
        <w:numPr>
          <w:ilvl w:val="0"/>
          <w:numId w:val="1"/>
        </w:numPr>
        <w:spacing w:after="0" w:line="259" w:lineRule="auto"/>
        <w:ind w:right="0" w:hanging="360"/>
        <w:jc w:val="left"/>
      </w:pPr>
      <w:r>
        <w:rPr>
          <w:sz w:val="28"/>
        </w:rPr>
        <w:t xml:space="preserve">Obra tuvo un costo de 140 millones de colones y fue financiada por </w:t>
      </w:r>
      <w:proofErr w:type="spellStart"/>
      <w:r>
        <w:rPr>
          <w:sz w:val="28"/>
        </w:rPr>
        <w:t>Dinadeco</w:t>
      </w:r>
      <w:proofErr w:type="spellEnd"/>
      <w:r>
        <w:rPr>
          <w:b/>
          <w:sz w:val="40"/>
        </w:rPr>
        <w:t xml:space="preserve"> </w:t>
      </w:r>
    </w:p>
    <w:p w:rsidR="003A251D" w:rsidRDefault="00020D6B">
      <w:pPr>
        <w:spacing w:after="0" w:line="259" w:lineRule="auto"/>
        <w:ind w:left="720" w:right="0" w:firstLine="0"/>
        <w:jc w:val="left"/>
      </w:pPr>
      <w:r>
        <w:rPr>
          <w:b/>
          <w:sz w:val="40"/>
        </w:rPr>
        <w:t xml:space="preserve"> </w:t>
      </w:r>
    </w:p>
    <w:p w:rsidR="003A251D" w:rsidRDefault="00020D6B">
      <w:pPr>
        <w:numPr>
          <w:ilvl w:val="0"/>
          <w:numId w:val="1"/>
        </w:numPr>
        <w:spacing w:after="0" w:line="259" w:lineRule="auto"/>
        <w:ind w:right="0" w:hanging="360"/>
        <w:jc w:val="left"/>
      </w:pPr>
      <w:r>
        <w:rPr>
          <w:sz w:val="28"/>
        </w:rPr>
        <w:t xml:space="preserve">Infraestructura comunal servirá de albergue para emergencias  </w:t>
      </w:r>
    </w:p>
    <w:p w:rsidR="003A251D" w:rsidRDefault="00020D6B">
      <w:pPr>
        <w:spacing w:after="70" w:line="259" w:lineRule="auto"/>
        <w:ind w:left="720" w:right="0" w:firstLine="0"/>
        <w:jc w:val="left"/>
      </w:pPr>
      <w:r>
        <w:rPr>
          <w:sz w:val="28"/>
        </w:rPr>
        <w:t xml:space="preserve"> </w:t>
      </w:r>
    </w:p>
    <w:p w:rsidR="003A251D" w:rsidRDefault="00020D6B">
      <w:pPr>
        <w:numPr>
          <w:ilvl w:val="0"/>
          <w:numId w:val="1"/>
        </w:numPr>
        <w:spacing w:after="0" w:line="259" w:lineRule="auto"/>
        <w:ind w:right="0" w:hanging="360"/>
        <w:jc w:val="left"/>
      </w:pPr>
      <w:r>
        <w:rPr>
          <w:sz w:val="28"/>
        </w:rPr>
        <w:t xml:space="preserve">CCSS tendrá espacio para atención primaria  </w:t>
      </w:r>
    </w:p>
    <w:p w:rsidR="003A251D" w:rsidRDefault="00020D6B">
      <w:pPr>
        <w:spacing w:after="0" w:line="259" w:lineRule="auto"/>
        <w:ind w:left="720" w:right="0" w:firstLine="0"/>
        <w:jc w:val="left"/>
      </w:pPr>
      <w:r>
        <w:rPr>
          <w:sz w:val="28"/>
        </w:rPr>
        <w:t xml:space="preserve"> </w:t>
      </w:r>
    </w:p>
    <w:p w:rsidR="003A251D" w:rsidRDefault="00020D6B">
      <w:pPr>
        <w:ind w:left="-5" w:right="41"/>
      </w:pPr>
      <w:r>
        <w:t xml:space="preserve">Los habitantes de las comunidades de </w:t>
      </w:r>
      <w:proofErr w:type="spellStart"/>
      <w:r>
        <w:t>Talolinga</w:t>
      </w:r>
      <w:proofErr w:type="spellEnd"/>
      <w:r>
        <w:t xml:space="preserve">, </w:t>
      </w:r>
      <w:proofErr w:type="spellStart"/>
      <w:r>
        <w:t>Talolinguita</w:t>
      </w:r>
      <w:proofErr w:type="spellEnd"/>
      <w:r>
        <w:t xml:space="preserve"> y </w:t>
      </w:r>
      <w:proofErr w:type="spellStart"/>
      <w:r>
        <w:t>Polvasales</w:t>
      </w:r>
      <w:proofErr w:type="spellEnd"/>
      <w:r>
        <w:t xml:space="preserve"> para recibir atención de salud primaria deben desplazarse 10 kilómetro</w:t>
      </w:r>
      <w:r>
        <w:t xml:space="preserve">s por un camino polvoriento. Para garantizarse una cita médica salen a la una de la madrugada a hacer fila, ingeniándose cómo desplazarse ante la falta de un transporte público que </w:t>
      </w:r>
      <w:proofErr w:type="gramStart"/>
      <w:r>
        <w:t>les</w:t>
      </w:r>
      <w:proofErr w:type="gramEnd"/>
      <w:r>
        <w:t xml:space="preserve"> facilite el acceso a la salud. En situaciones de emergencia carecían de</w:t>
      </w:r>
      <w:r>
        <w:t xml:space="preserve"> un espacio que cumpliera con las especificaciones establecidas que les albergara. Producto de la gestión comunal de la Asociación de Desarrollo Integral de Bocas de </w:t>
      </w:r>
      <w:proofErr w:type="spellStart"/>
      <w:r>
        <w:t>Talolinga</w:t>
      </w:r>
      <w:proofErr w:type="spellEnd"/>
      <w:r>
        <w:t xml:space="preserve"> de Nicoya y del aporte económico de la Dirección Nacional de Desarrollo de la Co</w:t>
      </w:r>
      <w:r>
        <w:t>munidad (</w:t>
      </w:r>
      <w:proofErr w:type="spellStart"/>
      <w:r>
        <w:t>Dinadeco</w:t>
      </w:r>
      <w:proofErr w:type="spellEnd"/>
      <w:r>
        <w:t xml:space="preserve">) hoy cuentan con un salón multiusos que solventará esas y otras muchas necesidades de la zona.  </w:t>
      </w:r>
    </w:p>
    <w:p w:rsidR="003A251D" w:rsidRDefault="00020D6B">
      <w:pPr>
        <w:spacing w:after="0" w:line="259" w:lineRule="auto"/>
        <w:ind w:left="0" w:right="0" w:firstLine="0"/>
        <w:jc w:val="left"/>
      </w:pPr>
      <w:r>
        <w:t xml:space="preserve"> </w:t>
      </w:r>
    </w:p>
    <w:p w:rsidR="003A251D" w:rsidRDefault="00020D6B">
      <w:pPr>
        <w:ind w:left="-5" w:right="41"/>
      </w:pPr>
      <w:r>
        <w:t>La infraestructura comunal, que fue inaugurada este martes 24 de julio por la comunidad, con la presencia del Ministro de Seguridad Pública</w:t>
      </w:r>
      <w:r>
        <w:t xml:space="preserve">, Gobernación y Policía, Michael Soto; el Viceministro de Gobernación, Víctor Barrantes; y el Director Nacional de </w:t>
      </w:r>
      <w:proofErr w:type="spellStart"/>
      <w:r>
        <w:t>Dinadeco</w:t>
      </w:r>
      <w:proofErr w:type="spellEnd"/>
      <w:r>
        <w:t xml:space="preserve">, Franklin Corella, tuvo un costo de 140 millones de colones, suma que fue financiada por </w:t>
      </w:r>
      <w:proofErr w:type="spellStart"/>
      <w:r>
        <w:t>Dinadeco</w:t>
      </w:r>
      <w:proofErr w:type="spellEnd"/>
      <w:r>
        <w:t xml:space="preserve">.  </w:t>
      </w:r>
    </w:p>
    <w:p w:rsidR="003A251D" w:rsidRDefault="00020D6B">
      <w:pPr>
        <w:spacing w:after="0" w:line="259" w:lineRule="auto"/>
        <w:ind w:left="0" w:right="0" w:firstLine="0"/>
        <w:jc w:val="left"/>
      </w:pPr>
      <w:r>
        <w:t xml:space="preserve"> </w:t>
      </w:r>
    </w:p>
    <w:p w:rsidR="003A251D" w:rsidRDefault="00020D6B">
      <w:pPr>
        <w:ind w:left="-5" w:right="41"/>
      </w:pPr>
      <w:r>
        <w:lastRenderedPageBreak/>
        <w:t>“Este salón servirá como sede</w:t>
      </w:r>
      <w:r>
        <w:t xml:space="preserve"> para la Caja Costarricense de Seguro Social. Preocupados por la situación de salud que tenemos, destinamos un espacio como consultorio médico luego del compromiso de las autoridades locales de brindar atención primaria en </w:t>
      </w:r>
      <w:proofErr w:type="spellStart"/>
      <w:r>
        <w:t>Talolinga</w:t>
      </w:r>
      <w:proofErr w:type="spellEnd"/>
      <w:r>
        <w:t xml:space="preserve"> dos días al mes.  Con e</w:t>
      </w:r>
      <w:r>
        <w:t xml:space="preserve">so lograremos descongestionar la clínica más cercana y le garantizaremos acceso a muchas personas que no tienen posibilidades de trasladarse”, destacó Miguel Ramírez, presidente de la ADI de Bocas de </w:t>
      </w:r>
      <w:proofErr w:type="spellStart"/>
      <w:r>
        <w:t>Talolinga</w:t>
      </w:r>
      <w:proofErr w:type="spellEnd"/>
      <w:r>
        <w:t xml:space="preserve">.  </w:t>
      </w:r>
    </w:p>
    <w:p w:rsidR="003A251D" w:rsidRDefault="00020D6B">
      <w:pPr>
        <w:spacing w:after="0" w:line="259" w:lineRule="auto"/>
        <w:ind w:left="0" w:right="0" w:firstLine="0"/>
        <w:jc w:val="left"/>
      </w:pPr>
      <w:r>
        <w:t xml:space="preserve"> </w:t>
      </w:r>
    </w:p>
    <w:p w:rsidR="003A251D" w:rsidRDefault="00020D6B">
      <w:pPr>
        <w:ind w:left="-5" w:right="41"/>
      </w:pPr>
      <w:r>
        <w:t>Esta obra también permitirá incentivar la</w:t>
      </w:r>
      <w:r>
        <w:t xml:space="preserve"> cultura y el deporte, siendo éste uno de los grandes objetivos que busca alcanzar la asociación ante el riesgo inminente en el que se encuentran los jóvenes por el aumento en el consumo y venta de drogas en la zona.  </w:t>
      </w:r>
    </w:p>
    <w:p w:rsidR="003A251D" w:rsidRDefault="00020D6B">
      <w:pPr>
        <w:spacing w:after="0" w:line="259" w:lineRule="auto"/>
        <w:ind w:left="0" w:right="0" w:firstLine="0"/>
        <w:jc w:val="left"/>
      </w:pPr>
      <w:r>
        <w:t xml:space="preserve"> </w:t>
      </w:r>
    </w:p>
    <w:p w:rsidR="003A251D" w:rsidRDefault="00020D6B">
      <w:pPr>
        <w:ind w:left="-5" w:right="41"/>
      </w:pPr>
      <w:r>
        <w:t>“El desarrollo comunal debe ser int</w:t>
      </w:r>
      <w:r>
        <w:t xml:space="preserve">egral, lo cual supone la atención de todas las problemáticas y necesidades de los habitantes de la comunidad. En </w:t>
      </w:r>
      <w:proofErr w:type="spellStart"/>
      <w:r>
        <w:t>Dinadeco</w:t>
      </w:r>
      <w:proofErr w:type="spellEnd"/>
      <w:r>
        <w:t xml:space="preserve"> priorizamos proyectos de alto impacto, proyectos que, como éste, transforman una comunidad y le garantizan el ejercicio pleno a los de</w:t>
      </w:r>
      <w:r>
        <w:t xml:space="preserve">rechos fundamentales como lo son la salud, la recreación, la integridad física y la seguridad social”, afirmó Franklin Corella, Director Nacional de </w:t>
      </w:r>
      <w:proofErr w:type="spellStart"/>
      <w:r>
        <w:t>Dinadeco</w:t>
      </w:r>
      <w:proofErr w:type="spellEnd"/>
      <w:r>
        <w:t xml:space="preserve">.  </w:t>
      </w:r>
    </w:p>
    <w:p w:rsidR="003A251D" w:rsidRDefault="00020D6B">
      <w:pPr>
        <w:spacing w:after="0" w:line="259" w:lineRule="auto"/>
        <w:ind w:left="0" w:right="0" w:firstLine="0"/>
        <w:jc w:val="left"/>
      </w:pPr>
      <w:r>
        <w:t xml:space="preserve"> </w:t>
      </w:r>
    </w:p>
    <w:p w:rsidR="003A251D" w:rsidRDefault="00020D6B">
      <w:pPr>
        <w:ind w:left="-5" w:right="41"/>
      </w:pPr>
      <w:r>
        <w:t xml:space="preserve">El salón multiusos también cumple un propósito </w:t>
      </w:r>
      <w:proofErr w:type="spellStart"/>
      <w:r>
        <w:t>socioproductivo</w:t>
      </w:r>
      <w:proofErr w:type="spellEnd"/>
      <w:r>
        <w:t>, pues le permite a la asociaci</w:t>
      </w:r>
      <w:r>
        <w:t xml:space="preserve">ón generar recursos con el desarrollo de actividades comunales que, además de integrar a la comunidad, le permitirá recaudar fondos para reinvertirlos en el mantenimiento de salón y en el desarrollo de otros proyectos.  </w:t>
      </w:r>
    </w:p>
    <w:p w:rsidR="003A251D" w:rsidRDefault="00020D6B">
      <w:pPr>
        <w:spacing w:after="0" w:line="259" w:lineRule="auto"/>
        <w:ind w:left="0" w:right="0" w:firstLine="0"/>
        <w:jc w:val="left"/>
      </w:pPr>
      <w:r>
        <w:t xml:space="preserve"> </w:t>
      </w:r>
    </w:p>
    <w:p w:rsidR="003A251D" w:rsidRDefault="00020D6B">
      <w:pPr>
        <w:ind w:left="-5" w:right="41"/>
      </w:pPr>
      <w:r>
        <w:t>“Para el Ministerio de Gobernació</w:t>
      </w:r>
      <w:r>
        <w:t>n es muy importante apoyar y celebrar los logros de las comunidades de la provincia de Guanacaste. Con la entrega de estas obras se apuesta por el desarrollo de las personas y de las familias y que habitan la zona. También apostamos por fortalecer nuevos m</w:t>
      </w:r>
      <w:r>
        <w:t xml:space="preserve">odelos de gobernanza”, indicó Víctor Barrantes, Viceministro de Gobernación.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p w:rsidR="003A251D" w:rsidRDefault="00020D6B">
      <w:pPr>
        <w:spacing w:after="0" w:line="259" w:lineRule="auto"/>
        <w:ind w:left="0" w:right="0" w:firstLine="0"/>
        <w:jc w:val="left"/>
      </w:pPr>
      <w:r>
        <w:t xml:space="preserve"> </w:t>
      </w:r>
    </w:p>
    <w:sectPr w:rsidR="003A251D">
      <w:pgSz w:w="12240" w:h="15840"/>
      <w:pgMar w:top="1457" w:right="1650" w:bottom="187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09F"/>
    <w:multiLevelType w:val="hybridMultilevel"/>
    <w:tmpl w:val="F744B0B8"/>
    <w:lvl w:ilvl="0" w:tplc="0F9885EC">
      <w:start w:val="1"/>
      <w:numFmt w:val="bullet"/>
      <w:lvlText w:val="-"/>
      <w:lvlJc w:val="left"/>
      <w:pPr>
        <w:ind w:left="1591"/>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1" w:tplc="27069D56">
      <w:start w:val="1"/>
      <w:numFmt w:val="bullet"/>
      <w:lvlText w:val="o"/>
      <w:lvlJc w:val="left"/>
      <w:pPr>
        <w:ind w:left="23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2" w:tplc="98D6DE7E">
      <w:start w:val="1"/>
      <w:numFmt w:val="bullet"/>
      <w:lvlText w:val="▪"/>
      <w:lvlJc w:val="left"/>
      <w:pPr>
        <w:ind w:left="30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3" w:tplc="35C2A504">
      <w:start w:val="1"/>
      <w:numFmt w:val="bullet"/>
      <w:lvlText w:val="•"/>
      <w:lvlJc w:val="left"/>
      <w:pPr>
        <w:ind w:left="38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4" w:tplc="3B20A35A">
      <w:start w:val="1"/>
      <w:numFmt w:val="bullet"/>
      <w:lvlText w:val="o"/>
      <w:lvlJc w:val="left"/>
      <w:pPr>
        <w:ind w:left="452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5" w:tplc="59AEE312">
      <w:start w:val="1"/>
      <w:numFmt w:val="bullet"/>
      <w:lvlText w:val="▪"/>
      <w:lvlJc w:val="left"/>
      <w:pPr>
        <w:ind w:left="524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6" w:tplc="A972211E">
      <w:start w:val="1"/>
      <w:numFmt w:val="bullet"/>
      <w:lvlText w:val="•"/>
      <w:lvlJc w:val="left"/>
      <w:pPr>
        <w:ind w:left="59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7" w:tplc="C37604D0">
      <w:start w:val="1"/>
      <w:numFmt w:val="bullet"/>
      <w:lvlText w:val="o"/>
      <w:lvlJc w:val="left"/>
      <w:pPr>
        <w:ind w:left="66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8" w:tplc="FBFCB44C">
      <w:start w:val="1"/>
      <w:numFmt w:val="bullet"/>
      <w:lvlText w:val="▪"/>
      <w:lvlJc w:val="left"/>
      <w:pPr>
        <w:ind w:left="74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1D"/>
    <w:rsid w:val="00020D6B"/>
    <w:rsid w:val="003A25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3340A-6993-458C-88FE-9359F349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9" w:lineRule="auto"/>
      <w:ind w:left="10" w:right="49"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Dinarac.MJP</dc:creator>
  <cp:keywords/>
  <cp:lastModifiedBy>VERONICA VEGA BONILLA</cp:lastModifiedBy>
  <cp:revision>2</cp:revision>
  <dcterms:created xsi:type="dcterms:W3CDTF">2018-07-26T21:16:00Z</dcterms:created>
  <dcterms:modified xsi:type="dcterms:W3CDTF">2018-07-26T21:16:00Z</dcterms:modified>
</cp:coreProperties>
</file>