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541018593"/>
        <w:docPartObj>
          <w:docPartGallery w:val="Cover Pages"/>
          <w:docPartUnique/>
        </w:docPartObj>
      </w:sdtPr>
      <w:sdtEndPr>
        <w:rPr>
          <w:rFonts w:ascii="Arial" w:eastAsia="Times New Roman" w:hAnsi="Arial" w:cs="Arial"/>
          <w:sz w:val="22"/>
          <w:szCs w:val="22"/>
        </w:rPr>
      </w:sdtEndPr>
      <w:sdtContent>
        <w:p w14:paraId="5A5B3030" w14:textId="77777777" w:rsidR="00242891" w:rsidRDefault="00242891">
          <w:pPr>
            <w:pStyle w:val="Sinespaciado"/>
            <w:rPr>
              <w:rFonts w:asciiTheme="majorHAnsi" w:eastAsiaTheme="majorEastAsia" w:hAnsiTheme="majorHAnsi" w:cstheme="majorBidi"/>
              <w:sz w:val="72"/>
              <w:szCs w:val="72"/>
            </w:rPr>
          </w:pPr>
        </w:p>
        <w:p w14:paraId="775488FC" w14:textId="77777777" w:rsidR="00242891" w:rsidRDefault="00242891">
          <w:pPr>
            <w:pStyle w:val="Sinespaciado"/>
            <w:rPr>
              <w:rFonts w:asciiTheme="majorHAnsi" w:eastAsiaTheme="majorEastAsia" w:hAnsiTheme="majorHAnsi" w:cstheme="majorBidi"/>
              <w:sz w:val="72"/>
              <w:szCs w:val="72"/>
            </w:rPr>
          </w:pPr>
        </w:p>
        <w:sdt>
          <w:sdtPr>
            <w:rPr>
              <w:rFonts w:ascii="Arial" w:eastAsiaTheme="majorEastAsia" w:hAnsi="Arial" w:cs="Arial"/>
              <w:sz w:val="52"/>
              <w:szCs w:val="72"/>
            </w:rPr>
            <w:alias w:val="Título"/>
            <w:id w:val="14700071"/>
            <w:dataBinding w:prefixMappings="xmlns:ns0='http://schemas.openxmlformats.org/package/2006/metadata/core-properties' xmlns:ns1='http://purl.org/dc/elements/1.1/'" w:xpath="/ns0:coreProperties[1]/ns1:title[1]" w:storeItemID="{6C3C8BC8-F283-45AE-878A-BAB7291924A1}"/>
            <w:text/>
          </w:sdtPr>
          <w:sdtEndPr/>
          <w:sdtContent>
            <w:p w14:paraId="01182CCD" w14:textId="77777777" w:rsidR="00242891" w:rsidRPr="0009480F" w:rsidRDefault="009F48E2" w:rsidP="00242891">
              <w:pPr>
                <w:pStyle w:val="Sinespaciado"/>
                <w:jc w:val="center"/>
                <w:rPr>
                  <w:rFonts w:ascii="Arial" w:eastAsiaTheme="majorEastAsia" w:hAnsi="Arial" w:cs="Arial"/>
                  <w:sz w:val="52"/>
                  <w:szCs w:val="72"/>
                </w:rPr>
              </w:pPr>
              <w:r>
                <w:rPr>
                  <w:rFonts w:ascii="Arial" w:eastAsiaTheme="majorEastAsia" w:hAnsi="Arial" w:cs="Arial"/>
                  <w:sz w:val="52"/>
                  <w:szCs w:val="72"/>
                </w:rPr>
                <w:t>I</w:t>
              </w:r>
              <w:r w:rsidR="00D42C69">
                <w:rPr>
                  <w:rFonts w:ascii="Arial" w:eastAsiaTheme="majorEastAsia" w:hAnsi="Arial" w:cs="Arial"/>
                  <w:sz w:val="52"/>
                  <w:szCs w:val="72"/>
                </w:rPr>
                <w:t>nforme anual de resultados físicos y financieros 2018</w:t>
              </w:r>
            </w:p>
          </w:sdtContent>
        </w:sdt>
        <w:p w14:paraId="177B74B0" w14:textId="77777777" w:rsidR="00242891" w:rsidRDefault="00242891">
          <w:pPr>
            <w:pStyle w:val="Sinespaciado"/>
            <w:rPr>
              <w:rFonts w:asciiTheme="majorHAnsi" w:eastAsiaTheme="majorEastAsia" w:hAnsiTheme="majorHAnsi" w:cstheme="majorBidi"/>
              <w:sz w:val="36"/>
              <w:szCs w:val="36"/>
            </w:rPr>
          </w:pPr>
        </w:p>
        <w:p w14:paraId="763850F6" w14:textId="77777777" w:rsidR="00242891" w:rsidRDefault="00242891">
          <w:pPr>
            <w:pStyle w:val="Sinespaciado"/>
            <w:rPr>
              <w:rFonts w:asciiTheme="majorHAnsi" w:eastAsiaTheme="majorEastAsia" w:hAnsiTheme="majorHAnsi" w:cstheme="majorBidi"/>
              <w:sz w:val="36"/>
              <w:szCs w:val="36"/>
            </w:rPr>
          </w:pPr>
        </w:p>
        <w:p w14:paraId="6986EE94" w14:textId="77777777" w:rsidR="00242891" w:rsidRDefault="00242891">
          <w:pPr>
            <w:pStyle w:val="Sinespaciado"/>
            <w:rPr>
              <w:rFonts w:asciiTheme="majorHAnsi" w:eastAsiaTheme="majorEastAsia" w:hAnsiTheme="majorHAnsi" w:cstheme="majorBidi"/>
              <w:sz w:val="36"/>
              <w:szCs w:val="36"/>
            </w:rPr>
          </w:pPr>
        </w:p>
        <w:p w14:paraId="787B9A13" w14:textId="77777777" w:rsidR="00242891" w:rsidRDefault="00242891">
          <w:pPr>
            <w:pStyle w:val="Sinespaciado"/>
          </w:pPr>
        </w:p>
        <w:sdt>
          <w:sdtPr>
            <w:rPr>
              <w:rFonts w:ascii="Arial" w:hAnsi="Arial" w:cs="Arial"/>
              <w:b/>
              <w:sz w:val="28"/>
            </w:rPr>
            <w:alias w:val="Compañía"/>
            <w:id w:val="14700089"/>
            <w:dataBinding w:prefixMappings="xmlns:ns0='http://schemas.openxmlformats.org/officeDocument/2006/extended-properties'" w:xpath="/ns0:Properties[1]/ns0:Company[1]" w:storeItemID="{6668398D-A668-4E3E-A5EB-62B293D839F1}"/>
            <w:text/>
          </w:sdtPr>
          <w:sdtEndPr/>
          <w:sdtContent>
            <w:p w14:paraId="38D2C3D6" w14:textId="77777777" w:rsidR="00242891" w:rsidRPr="0070538C" w:rsidRDefault="009F48E2" w:rsidP="00242891">
              <w:pPr>
                <w:pStyle w:val="Sinespaciado"/>
                <w:jc w:val="center"/>
                <w:rPr>
                  <w:rFonts w:ascii="Arial" w:hAnsi="Arial" w:cs="Arial"/>
                  <w:b/>
                  <w:sz w:val="28"/>
                </w:rPr>
              </w:pPr>
              <w:r>
                <w:rPr>
                  <w:rFonts w:ascii="Arial" w:hAnsi="Arial" w:cs="Arial"/>
                  <w:b/>
                  <w:sz w:val="28"/>
                </w:rPr>
                <w:t>DIRECCIÓN NACIONAL DE DESARROLLO DE LA COMUNIDAD (DINADECO)</w:t>
              </w:r>
            </w:p>
          </w:sdtContent>
        </w:sdt>
        <w:p w14:paraId="08AFC92E" w14:textId="77777777" w:rsidR="00242891" w:rsidRDefault="00242891"/>
        <w:p w14:paraId="5AC5946B" w14:textId="77777777" w:rsidR="00242891" w:rsidRDefault="00242891"/>
        <w:p w14:paraId="68DBBB3D" w14:textId="77777777" w:rsidR="00242891" w:rsidRDefault="00242891"/>
        <w:p w14:paraId="50AB025A" w14:textId="77777777" w:rsidR="00242891" w:rsidRDefault="00242891"/>
        <w:p w14:paraId="4B8625D0" w14:textId="77777777" w:rsidR="00242891" w:rsidRDefault="00242891"/>
        <w:p w14:paraId="746584B6" w14:textId="77777777" w:rsidR="00242891" w:rsidRDefault="00242891"/>
        <w:p w14:paraId="75A12663" w14:textId="77777777" w:rsidR="00B11C88" w:rsidRDefault="00B11C88"/>
        <w:p w14:paraId="424A8FF0" w14:textId="77777777" w:rsidR="00B11C88" w:rsidRDefault="00B11C88" w:rsidP="00B11C88">
          <w:pPr>
            <w:jc w:val="center"/>
          </w:pPr>
          <w:r>
            <w:t>Dirigido a</w:t>
          </w:r>
          <w:r w:rsidR="007A2576">
            <w:t>: DIRECCIÓN</w:t>
          </w:r>
          <w:r w:rsidRPr="00B11C88">
            <w:t xml:space="preserve"> GENERAL DE PRESUPUESTO NACIONAL   MINISTERIO HACIENDA</w:t>
          </w:r>
          <w:r>
            <w:t xml:space="preserve"> Y MINISTERIO DE GOBERNACIÓN Y POLICÍA MGP</w:t>
          </w:r>
        </w:p>
        <w:p w14:paraId="4180BA49" w14:textId="77777777" w:rsidR="00242891" w:rsidRDefault="00242891"/>
        <w:p w14:paraId="02776308" w14:textId="77777777" w:rsidR="00242891" w:rsidRDefault="00242891"/>
        <w:p w14:paraId="391EDB96" w14:textId="77777777" w:rsidR="00242891" w:rsidRDefault="00242891"/>
        <w:p w14:paraId="6FDACD61" w14:textId="77777777" w:rsidR="00242891" w:rsidRDefault="00242891"/>
        <w:sdt>
          <w:sdtPr>
            <w:rPr>
              <w:rFonts w:ascii="Arial" w:hAnsi="Arial" w:cs="Arial"/>
              <w:b/>
              <w:sz w:val="36"/>
            </w:rPr>
            <w:alias w:val="Autor"/>
            <w:id w:val="14700094"/>
            <w:dataBinding w:prefixMappings="xmlns:ns0='http://schemas.openxmlformats.org/package/2006/metadata/core-properties' xmlns:ns1='http://purl.org/dc/elements/1.1/'" w:xpath="/ns0:coreProperties[1]/ns1:creator[1]" w:storeItemID="{6C3C8BC8-F283-45AE-878A-BAB7291924A1}"/>
            <w:text/>
          </w:sdtPr>
          <w:sdtEndPr/>
          <w:sdtContent>
            <w:p w14:paraId="3805E272" w14:textId="77777777" w:rsidR="00242891" w:rsidRPr="0089647A" w:rsidRDefault="00663F0C" w:rsidP="00242891">
              <w:pPr>
                <w:pStyle w:val="Sinespaciado"/>
                <w:jc w:val="center"/>
                <w:rPr>
                  <w:rFonts w:ascii="Arial" w:hAnsi="Arial" w:cs="Arial"/>
                  <w:b/>
                </w:rPr>
              </w:pPr>
              <w:r>
                <w:rPr>
                  <w:rFonts w:ascii="Arial" w:hAnsi="Arial" w:cs="Arial"/>
                  <w:b/>
                  <w:sz w:val="36"/>
                </w:rPr>
                <w:t>Diciembre</w:t>
              </w:r>
              <w:r w:rsidR="009F48E2">
                <w:rPr>
                  <w:rFonts w:ascii="Arial" w:hAnsi="Arial" w:cs="Arial"/>
                  <w:b/>
                  <w:sz w:val="36"/>
                </w:rPr>
                <w:t xml:space="preserve"> </w:t>
              </w:r>
              <w:r w:rsidR="00D42C69">
                <w:rPr>
                  <w:rFonts w:ascii="Arial" w:hAnsi="Arial" w:cs="Arial"/>
                  <w:b/>
                  <w:sz w:val="36"/>
                </w:rPr>
                <w:t>2018</w:t>
              </w:r>
            </w:p>
          </w:sdtContent>
        </w:sdt>
        <w:p w14:paraId="54CD11F2" w14:textId="77777777" w:rsidR="00D44788" w:rsidRDefault="00242891" w:rsidP="005A4907">
          <w:pPr>
            <w:pStyle w:val="Ttulo1"/>
            <w:ind w:left="0"/>
            <w:jc w:val="center"/>
            <w:rPr>
              <w:rFonts w:cs="Arial"/>
              <w:sz w:val="22"/>
              <w:szCs w:val="22"/>
            </w:rPr>
          </w:pPr>
          <w:r>
            <w:rPr>
              <w:rFonts w:cs="Arial"/>
              <w:sz w:val="22"/>
              <w:szCs w:val="22"/>
            </w:rPr>
            <w:t xml:space="preserve"> </w:t>
          </w:r>
        </w:p>
        <w:p w14:paraId="5A364548" w14:textId="77777777" w:rsidR="00D44788" w:rsidRDefault="00D44788">
          <w:pPr>
            <w:rPr>
              <w:rFonts w:ascii="Arial" w:hAnsi="Arial" w:cs="Arial"/>
              <w:b/>
              <w:bCs/>
              <w:color w:val="17365D" w:themeColor="text2" w:themeShade="BF"/>
              <w:sz w:val="22"/>
              <w:szCs w:val="22"/>
              <w:lang w:val="es-MX"/>
            </w:rPr>
          </w:pPr>
          <w:r>
            <w:rPr>
              <w:rFonts w:cs="Arial"/>
              <w:sz w:val="22"/>
              <w:szCs w:val="22"/>
            </w:rPr>
            <w:br w:type="page"/>
          </w:r>
        </w:p>
        <w:p w14:paraId="6F0CC939" w14:textId="77777777" w:rsidR="00D44788" w:rsidRDefault="00D44788" w:rsidP="005A4907">
          <w:pPr>
            <w:pStyle w:val="Ttulo1"/>
            <w:ind w:left="0"/>
            <w:jc w:val="center"/>
            <w:rPr>
              <w:rFonts w:cs="Arial"/>
              <w:sz w:val="22"/>
              <w:szCs w:val="22"/>
            </w:rPr>
          </w:pPr>
        </w:p>
        <w:p w14:paraId="58908964" w14:textId="77777777" w:rsidR="00D44788" w:rsidRDefault="00D44788" w:rsidP="005A4907">
          <w:pPr>
            <w:pStyle w:val="Ttulo1"/>
            <w:ind w:left="0"/>
            <w:jc w:val="center"/>
            <w:rPr>
              <w:rFonts w:cs="Arial"/>
              <w:sz w:val="22"/>
              <w:szCs w:val="22"/>
            </w:rPr>
          </w:pPr>
        </w:p>
        <w:p w14:paraId="3BF39A91" w14:textId="77777777" w:rsidR="005A4907" w:rsidRPr="00AF7A4E" w:rsidRDefault="005A4907" w:rsidP="005A4907">
          <w:pPr>
            <w:pStyle w:val="Ttulo1"/>
            <w:ind w:left="0"/>
            <w:jc w:val="center"/>
            <w:rPr>
              <w:rStyle w:val="Ttulodellibro"/>
              <w:b/>
              <w:color w:val="000000" w:themeColor="text1"/>
              <w:sz w:val="22"/>
            </w:rPr>
          </w:pPr>
          <w:bookmarkStart w:id="0" w:name="_Toc531253878"/>
          <w:r w:rsidRPr="00AF7A4E">
            <w:rPr>
              <w:rStyle w:val="Ttulodellibro"/>
              <w:b/>
              <w:color w:val="000000" w:themeColor="text1"/>
              <w:sz w:val="22"/>
            </w:rPr>
            <w:t>INFORME ANUAL DE EVALUACIÓN DE LOS RESULTADOS FÍSICOS Y FINANCIEROS 2018</w:t>
          </w:r>
          <w:bookmarkEnd w:id="0"/>
        </w:p>
        <w:p w14:paraId="0B7D9355" w14:textId="77777777" w:rsidR="005A4907" w:rsidRPr="004975E7" w:rsidRDefault="005A4907" w:rsidP="005A4907">
          <w:pPr>
            <w:rPr>
              <w:rFonts w:ascii="Arial" w:hAnsi="Arial" w:cs="Arial"/>
              <w:b/>
              <w:sz w:val="20"/>
              <w:szCs w:val="20"/>
              <w:u w:val="single"/>
              <w:lang w:val="es-MX"/>
            </w:rPr>
          </w:pPr>
        </w:p>
        <w:p w14:paraId="213759D2" w14:textId="77777777" w:rsidR="005A4907" w:rsidRPr="00A03DA8" w:rsidRDefault="00D44788" w:rsidP="00D44788">
          <w:pPr>
            <w:pStyle w:val="TtuloTDC"/>
            <w:rPr>
              <w:rStyle w:val="Ttulodellibro"/>
              <w:b/>
              <w:bCs/>
              <w:color w:val="000000" w:themeColor="text1"/>
            </w:rPr>
          </w:pPr>
          <w:bookmarkStart w:id="1" w:name="_Toc531253879"/>
          <w:bookmarkStart w:id="2" w:name="_Toc530474645"/>
          <w:r>
            <w:rPr>
              <w:rStyle w:val="Ttulodellibro"/>
              <w:b/>
              <w:bCs/>
              <w:color w:val="000000" w:themeColor="text1"/>
            </w:rPr>
            <w:t xml:space="preserve">I </w:t>
          </w:r>
          <w:r w:rsidR="005A4907" w:rsidRPr="00A03DA8">
            <w:rPr>
              <w:rStyle w:val="Ttulodellibro"/>
              <w:b/>
              <w:bCs/>
              <w:color w:val="000000" w:themeColor="text1"/>
            </w:rPr>
            <w:t>ANALISIS INSTITUCIONAL</w:t>
          </w:r>
          <w:bookmarkEnd w:id="1"/>
          <w:r w:rsidR="005A4907" w:rsidRPr="00A03DA8">
            <w:rPr>
              <w:rStyle w:val="Ttulodellibro"/>
              <w:b/>
              <w:bCs/>
              <w:color w:val="000000" w:themeColor="text1"/>
            </w:rPr>
            <w:t xml:space="preserve"> </w:t>
          </w:r>
        </w:p>
        <w:p w14:paraId="637D8ED9" w14:textId="77777777" w:rsidR="005A4907" w:rsidRPr="00F2368B" w:rsidRDefault="005A4907" w:rsidP="005A4907">
          <w:pPr>
            <w:rPr>
              <w:lang w:val="es-MX"/>
            </w:rPr>
          </w:pPr>
        </w:p>
        <w:p w14:paraId="62DE188F" w14:textId="77777777" w:rsidR="005A4907" w:rsidRPr="00F2368B" w:rsidRDefault="005A4907" w:rsidP="005A4907">
          <w:pPr>
            <w:spacing w:after="120" w:line="360" w:lineRule="auto"/>
            <w:jc w:val="both"/>
            <w:rPr>
              <w:rFonts w:ascii="Arial" w:hAnsi="Arial" w:cs="Arial"/>
              <w:sz w:val="20"/>
              <w:szCs w:val="20"/>
              <w:lang w:val="es-ES_tradnl"/>
            </w:rPr>
          </w:pPr>
          <w:r>
            <w:rPr>
              <w:rFonts w:ascii="Arial" w:hAnsi="Arial" w:cs="Arial"/>
              <w:sz w:val="20"/>
              <w:szCs w:val="20"/>
              <w:lang w:val="es-ES_tradnl"/>
            </w:rPr>
            <w:t>Comentar</w:t>
          </w:r>
          <w:r w:rsidRPr="00F2368B">
            <w:rPr>
              <w:rFonts w:ascii="Arial" w:hAnsi="Arial" w:cs="Arial"/>
              <w:sz w:val="20"/>
              <w:szCs w:val="20"/>
              <w:lang w:val="es-ES_tradnl"/>
            </w:rPr>
            <w:t xml:space="preserve"> en términos generales las competencias que por ley le corresponden</w:t>
          </w:r>
          <w:r>
            <w:rPr>
              <w:rFonts w:ascii="Arial" w:hAnsi="Arial" w:cs="Arial"/>
              <w:sz w:val="20"/>
              <w:szCs w:val="20"/>
              <w:lang w:val="es-ES_tradnl"/>
            </w:rPr>
            <w:t xml:space="preserve"> a la entidad</w:t>
          </w:r>
          <w:r w:rsidRPr="00F2368B">
            <w:rPr>
              <w:rFonts w:ascii="Arial" w:hAnsi="Arial" w:cs="Arial"/>
              <w:sz w:val="20"/>
              <w:szCs w:val="20"/>
              <w:lang w:val="es-ES_tradnl"/>
            </w:rPr>
            <w:t xml:space="preserve">. </w:t>
          </w:r>
        </w:p>
        <w:p w14:paraId="7D611E35" w14:textId="77777777" w:rsidR="005A4907" w:rsidRDefault="005A4907" w:rsidP="005A4907">
          <w:pPr>
            <w:spacing w:after="120" w:line="360" w:lineRule="auto"/>
            <w:jc w:val="both"/>
            <w:rPr>
              <w:rFonts w:ascii="Arial" w:hAnsi="Arial" w:cs="Arial"/>
              <w:sz w:val="20"/>
              <w:szCs w:val="20"/>
              <w:lang w:val="es-ES_tradnl"/>
            </w:rPr>
          </w:pPr>
          <w:r w:rsidRPr="00F2368B">
            <w:rPr>
              <w:rFonts w:ascii="Arial" w:hAnsi="Arial" w:cs="Arial"/>
              <w:sz w:val="20"/>
              <w:szCs w:val="20"/>
              <w:lang w:val="es-ES_tradnl"/>
            </w:rPr>
            <w:t xml:space="preserve">En los casos que corresponda, se debe mencionar </w:t>
          </w:r>
          <w:r>
            <w:rPr>
              <w:rFonts w:ascii="Arial" w:hAnsi="Arial" w:cs="Arial"/>
              <w:sz w:val="20"/>
              <w:szCs w:val="20"/>
              <w:lang w:val="es-ES_tradnl"/>
            </w:rPr>
            <w:t>su</w:t>
          </w:r>
          <w:r w:rsidRPr="00F2368B">
            <w:rPr>
              <w:rFonts w:ascii="Arial" w:hAnsi="Arial" w:cs="Arial"/>
              <w:sz w:val="20"/>
              <w:szCs w:val="20"/>
              <w:lang w:val="es-ES_tradnl"/>
            </w:rPr>
            <w:t xml:space="preserve"> contribución o participación en el Plan Nacional de Desarrollo y en los planes sectoriales</w:t>
          </w:r>
          <w:r>
            <w:rPr>
              <w:rFonts w:ascii="Arial" w:hAnsi="Arial" w:cs="Arial"/>
              <w:sz w:val="20"/>
              <w:szCs w:val="20"/>
              <w:lang w:val="es-ES_tradnl"/>
            </w:rPr>
            <w:t xml:space="preserve"> o planes estratégicos en el caso de los Poderes</w:t>
          </w:r>
          <w:r w:rsidRPr="00F2368B">
            <w:rPr>
              <w:rFonts w:ascii="Arial" w:hAnsi="Arial" w:cs="Arial"/>
              <w:sz w:val="20"/>
              <w:szCs w:val="20"/>
              <w:lang w:val="es-ES_tradnl"/>
            </w:rPr>
            <w:t>. (</w:t>
          </w:r>
          <w:r w:rsidRPr="00F2368B">
            <w:rPr>
              <w:rFonts w:ascii="Arial" w:hAnsi="Arial" w:cs="Arial"/>
              <w:sz w:val="20"/>
              <w:szCs w:val="20"/>
              <w:u w:val="single"/>
              <w:lang w:val="es-ES_tradnl"/>
            </w:rPr>
            <w:t>Este punto no deberá exceder media página</w:t>
          </w:r>
          <w:r w:rsidRPr="00F2368B">
            <w:rPr>
              <w:rFonts w:ascii="Arial" w:hAnsi="Arial" w:cs="Arial"/>
              <w:sz w:val="20"/>
              <w:szCs w:val="20"/>
              <w:lang w:val="es-ES_tradnl"/>
            </w:rPr>
            <w:t>).</w:t>
          </w:r>
        </w:p>
        <w:p w14:paraId="237B3708" w14:textId="77777777" w:rsidR="005A4907" w:rsidRPr="00A03DA8" w:rsidRDefault="00D44788" w:rsidP="00D44788">
          <w:pPr>
            <w:pStyle w:val="TtuloTDC"/>
            <w:rPr>
              <w:rStyle w:val="Ttulodellibro"/>
              <w:rFonts w:cs="Arial"/>
              <w:b/>
              <w:color w:val="000000" w:themeColor="text1"/>
            </w:rPr>
          </w:pPr>
          <w:bookmarkStart w:id="3" w:name="_Toc531253880"/>
          <w:r>
            <w:rPr>
              <w:rStyle w:val="Ttulodellibro"/>
              <w:rFonts w:cs="Arial"/>
              <w:b/>
              <w:color w:val="000000" w:themeColor="text1"/>
            </w:rPr>
            <w:t xml:space="preserve">II </w:t>
          </w:r>
          <w:r w:rsidR="005A4907" w:rsidRPr="00A03DA8">
            <w:rPr>
              <w:rStyle w:val="Ttulodellibro"/>
              <w:rFonts w:cs="Arial"/>
              <w:b/>
              <w:color w:val="000000" w:themeColor="text1"/>
            </w:rPr>
            <w:t>APARTADO GESTIÓN FINANCIERA</w:t>
          </w:r>
          <w:bookmarkEnd w:id="2"/>
          <w:bookmarkEnd w:id="3"/>
        </w:p>
        <w:p w14:paraId="48FAE1AE" w14:textId="77777777" w:rsidR="005A4907" w:rsidRPr="00284030" w:rsidRDefault="005A4907" w:rsidP="005A4907">
          <w:pPr>
            <w:pStyle w:val="Ttulo2"/>
            <w:numPr>
              <w:ilvl w:val="0"/>
              <w:numId w:val="0"/>
            </w:numPr>
            <w:jc w:val="left"/>
            <w:rPr>
              <w:rFonts w:ascii="Arial" w:eastAsiaTheme="majorEastAsia" w:hAnsi="Arial" w:cstheme="majorBidi"/>
              <w:iCs/>
              <w:smallCaps/>
              <w:color w:val="000000" w:themeColor="text1"/>
              <w:spacing w:val="15"/>
              <w:sz w:val="22"/>
            </w:rPr>
          </w:pPr>
        </w:p>
        <w:p w14:paraId="266C8462" w14:textId="77777777" w:rsidR="00384757" w:rsidRDefault="00384757" w:rsidP="00384757">
          <w:pPr>
            <w:pStyle w:val="Ttulo2"/>
            <w:numPr>
              <w:ilvl w:val="0"/>
              <w:numId w:val="0"/>
            </w:numPr>
            <w:jc w:val="left"/>
            <w:rPr>
              <w:rFonts w:ascii="Arial" w:eastAsiaTheme="majorEastAsia" w:hAnsi="Arial" w:cstheme="majorBidi"/>
              <w:b w:val="0"/>
              <w:iCs/>
              <w:smallCaps/>
              <w:color w:val="000000" w:themeColor="text1"/>
              <w:spacing w:val="15"/>
              <w:sz w:val="22"/>
              <w:lang w:val="es-ES"/>
            </w:rPr>
          </w:pPr>
        </w:p>
        <w:p w14:paraId="2C1F7354" w14:textId="77777777" w:rsidR="00384757" w:rsidRDefault="00384757" w:rsidP="00384757">
          <w:pPr>
            <w:pStyle w:val="Ttulo2"/>
            <w:numPr>
              <w:ilvl w:val="0"/>
              <w:numId w:val="0"/>
            </w:numPr>
            <w:jc w:val="both"/>
            <w:rPr>
              <w:rFonts w:ascii="Arial" w:eastAsiaTheme="majorEastAsia" w:hAnsi="Arial" w:cstheme="majorBidi"/>
              <w:iCs/>
              <w:smallCaps/>
              <w:color w:val="000000" w:themeColor="text1"/>
              <w:spacing w:val="15"/>
              <w:sz w:val="22"/>
            </w:rPr>
          </w:pPr>
          <w:bookmarkStart w:id="4" w:name="_Toc531253881"/>
          <w:r>
            <w:rPr>
              <w:rFonts w:ascii="Arial" w:eastAsiaTheme="majorEastAsia" w:hAnsi="Arial" w:cstheme="majorBidi"/>
              <w:iCs/>
              <w:smallCaps/>
              <w:color w:val="000000" w:themeColor="text1"/>
              <w:spacing w:val="15"/>
              <w:sz w:val="22"/>
            </w:rPr>
            <w:t>Ejecución del Presupuesto 2018 a nivel institucional</w:t>
          </w:r>
          <w:bookmarkStart w:id="5" w:name="OLE_LINK1"/>
          <w:bookmarkStart w:id="6" w:name="OLE_LINK2"/>
          <w:bookmarkStart w:id="7" w:name="OLE_LINK6"/>
          <w:r>
            <w:rPr>
              <w:rFonts w:ascii="Arial" w:eastAsiaTheme="majorEastAsia" w:hAnsi="Arial" w:cstheme="majorBidi"/>
              <w:iCs/>
              <w:smallCaps/>
              <w:color w:val="000000" w:themeColor="text1"/>
              <w:spacing w:val="15"/>
              <w:sz w:val="22"/>
            </w:rPr>
            <w:t xml:space="preserve"> asociado a recursos internos</w:t>
          </w:r>
          <w:bookmarkEnd w:id="4"/>
        </w:p>
        <w:p w14:paraId="4D981B2E" w14:textId="77777777" w:rsidR="00384757" w:rsidRDefault="00384757" w:rsidP="00384757">
          <w:pPr>
            <w:pStyle w:val="Subttulo"/>
            <w:rPr>
              <w:sz w:val="20"/>
              <w:lang w:val="es-ES_tradnl"/>
            </w:rPr>
          </w:pPr>
        </w:p>
        <w:p w14:paraId="5F57A05B" w14:textId="77777777" w:rsidR="00384757" w:rsidRPr="00051CDD" w:rsidRDefault="00384757" w:rsidP="00384757">
          <w:pPr>
            <w:spacing w:line="360" w:lineRule="auto"/>
            <w:jc w:val="both"/>
            <w:rPr>
              <w:rFonts w:ascii="Arial" w:hAnsi="Arial" w:cs="Arial"/>
              <w:sz w:val="20"/>
              <w:szCs w:val="20"/>
              <w:lang w:val="es-ES_tradnl"/>
            </w:rPr>
          </w:pPr>
          <w:r w:rsidRPr="00051CDD">
            <w:rPr>
              <w:rFonts w:ascii="Arial" w:hAnsi="Arial" w:cs="Arial"/>
              <w:sz w:val="20"/>
              <w:szCs w:val="20"/>
              <w:lang w:val="es-ES_tradnl"/>
            </w:rPr>
            <w:t>Con base en la información de las hojas “Financiero” y “Liquidación” realice un análisis general sobre el porcentaje de ejecución alcanzado para cada una de las partidas, considerando lo financiado con recursos internos (Subtotal). Para realizar estos comentarios, considere la información de la ejecución financiera de los programas y subprogramas con el objetivo de conocer aspectos específicos que incidieron en el resultado final de ejecución.</w:t>
          </w:r>
        </w:p>
        <w:p w14:paraId="3FAFAB6F" w14:textId="77777777" w:rsidR="008D53FA" w:rsidRDefault="008D53FA" w:rsidP="00384757">
          <w:pPr>
            <w:spacing w:line="360" w:lineRule="auto"/>
            <w:jc w:val="both"/>
            <w:rPr>
              <w:rFonts w:ascii="Arial" w:hAnsi="Arial" w:cs="Arial"/>
              <w:sz w:val="20"/>
              <w:szCs w:val="20"/>
              <w:highlight w:val="yellow"/>
              <w:lang w:val="es-ES_tradnl"/>
            </w:rPr>
          </w:pPr>
        </w:p>
        <w:p w14:paraId="51509C23" w14:textId="77777777" w:rsidR="008D53FA" w:rsidRDefault="008D53FA" w:rsidP="00384757">
          <w:pPr>
            <w:spacing w:line="360" w:lineRule="auto"/>
            <w:jc w:val="both"/>
            <w:rPr>
              <w:rFonts w:ascii="Arial" w:hAnsi="Arial" w:cs="Arial"/>
              <w:b/>
              <w:sz w:val="20"/>
              <w:szCs w:val="20"/>
              <w:lang w:val="es-ES_tradnl"/>
            </w:rPr>
          </w:pPr>
          <w:r w:rsidRPr="008D53FA">
            <w:rPr>
              <w:rFonts w:ascii="Arial" w:hAnsi="Arial" w:cs="Arial"/>
              <w:b/>
              <w:sz w:val="20"/>
              <w:szCs w:val="20"/>
              <w:lang w:val="es-ES_tradnl"/>
            </w:rPr>
            <w:t>Análisis General sobre Porcentaje de Ejecución Presupuestari</w:t>
          </w:r>
          <w:r w:rsidR="00051CDD">
            <w:rPr>
              <w:rFonts w:ascii="Arial" w:hAnsi="Arial" w:cs="Arial"/>
              <w:b/>
              <w:sz w:val="20"/>
              <w:szCs w:val="20"/>
              <w:lang w:val="es-ES_tradnl"/>
            </w:rPr>
            <w:t>a</w:t>
          </w:r>
        </w:p>
        <w:p w14:paraId="1C82CA40" w14:textId="77777777" w:rsidR="00051CDD" w:rsidRDefault="00FD1942" w:rsidP="00384757">
          <w:pPr>
            <w:spacing w:line="360" w:lineRule="auto"/>
            <w:jc w:val="both"/>
            <w:rPr>
              <w:rFonts w:ascii="Arial" w:hAnsi="Arial" w:cs="Arial"/>
              <w:sz w:val="20"/>
              <w:szCs w:val="20"/>
              <w:lang w:val="es-ES_tradnl"/>
            </w:rPr>
          </w:pPr>
          <w:r>
            <w:rPr>
              <w:rFonts w:ascii="Arial" w:hAnsi="Arial" w:cs="Arial"/>
              <w:sz w:val="20"/>
              <w:szCs w:val="20"/>
              <w:lang w:val="es-ES_tradnl"/>
            </w:rPr>
            <w:t xml:space="preserve">Se puede decir que en términos generales el porcentaje de ejecución alcanzado por la institución de un de </w:t>
          </w:r>
          <w:r w:rsidR="00925619">
            <w:rPr>
              <w:rFonts w:ascii="Arial" w:hAnsi="Arial" w:cs="Arial"/>
              <w:sz w:val="20"/>
              <w:szCs w:val="20"/>
              <w:lang w:val="es-ES_tradnl"/>
            </w:rPr>
            <w:t>87.5, se debió a una serie de factores o circunstancias tanto internas como externas, que mencionas a continuación:</w:t>
          </w:r>
        </w:p>
        <w:p w14:paraId="6095C36D" w14:textId="77777777" w:rsidR="00925619" w:rsidRDefault="00925619" w:rsidP="00925619">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Atraso</w:t>
          </w:r>
          <w:r w:rsidR="007E67CB">
            <w:rPr>
              <w:rFonts w:ascii="Arial" w:hAnsi="Arial" w:cs="Arial"/>
              <w:bCs/>
              <w:sz w:val="20"/>
              <w:szCs w:val="20"/>
            </w:rPr>
            <w:t>s</w:t>
          </w:r>
          <w:r>
            <w:rPr>
              <w:rFonts w:ascii="Arial" w:hAnsi="Arial" w:cs="Arial"/>
              <w:bCs/>
              <w:sz w:val="20"/>
              <w:szCs w:val="20"/>
            </w:rPr>
            <w:t xml:space="preserve"> en la presentación de facturas de cobro de los servicios públicos</w:t>
          </w:r>
        </w:p>
        <w:p w14:paraId="6C77260E" w14:textId="77777777" w:rsidR="00925619" w:rsidRDefault="00925619" w:rsidP="00925619">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Ajuste</w:t>
          </w:r>
          <w:r w:rsidR="007E67CB">
            <w:rPr>
              <w:rFonts w:ascii="Arial" w:hAnsi="Arial" w:cs="Arial"/>
              <w:bCs/>
              <w:sz w:val="20"/>
              <w:szCs w:val="20"/>
            </w:rPr>
            <w:t>s</w:t>
          </w:r>
          <w:r>
            <w:rPr>
              <w:rFonts w:ascii="Arial" w:hAnsi="Arial" w:cs="Arial"/>
              <w:bCs/>
              <w:sz w:val="20"/>
              <w:szCs w:val="20"/>
            </w:rPr>
            <w:t xml:space="preserve"> en el valor de los vehículos que forman parte de la flotilla vehicular de la Institución, lo que provocó una disminución en el cobro de la póliza. </w:t>
          </w:r>
        </w:p>
        <w:p w14:paraId="31FBD1C9" w14:textId="6E8627A6" w:rsidR="00925619" w:rsidRDefault="00925619" w:rsidP="00925619">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 xml:space="preserve">No </w:t>
          </w:r>
          <w:r w:rsidR="007E67CB">
            <w:rPr>
              <w:rFonts w:ascii="Arial" w:hAnsi="Arial" w:cs="Arial"/>
              <w:bCs/>
              <w:sz w:val="20"/>
              <w:szCs w:val="20"/>
            </w:rPr>
            <w:t>se consideran los</w:t>
          </w:r>
          <w:r>
            <w:rPr>
              <w:rFonts w:ascii="Arial" w:hAnsi="Arial" w:cs="Arial"/>
              <w:bCs/>
              <w:sz w:val="20"/>
              <w:szCs w:val="20"/>
            </w:rPr>
            <w:t xml:space="preserve"> gastos por concepto de viáticos correspondientes al mes de diciembre lo cual suma aproximadamente ¢</w:t>
          </w:r>
          <w:r w:rsidR="007E67CB">
            <w:rPr>
              <w:rFonts w:ascii="Arial" w:hAnsi="Arial" w:cs="Arial"/>
              <w:bCs/>
              <w:sz w:val="20"/>
              <w:szCs w:val="20"/>
            </w:rPr>
            <w:t>2</w:t>
          </w:r>
          <w:r w:rsidR="00477E1F">
            <w:rPr>
              <w:rFonts w:ascii="Arial" w:hAnsi="Arial" w:cs="Arial"/>
              <w:bCs/>
              <w:sz w:val="20"/>
              <w:szCs w:val="20"/>
            </w:rPr>
            <w:t xml:space="preserve"> millo</w:t>
          </w:r>
          <w:r>
            <w:rPr>
              <w:rFonts w:ascii="Arial" w:hAnsi="Arial" w:cs="Arial"/>
              <w:bCs/>
              <w:sz w:val="20"/>
              <w:szCs w:val="20"/>
            </w:rPr>
            <w:t>n</w:t>
          </w:r>
          <w:r w:rsidR="00477E1F">
            <w:rPr>
              <w:rFonts w:ascii="Arial" w:hAnsi="Arial" w:cs="Arial"/>
              <w:bCs/>
              <w:sz w:val="20"/>
              <w:szCs w:val="20"/>
            </w:rPr>
            <w:t>es de colones</w:t>
          </w:r>
          <w:r>
            <w:rPr>
              <w:rFonts w:ascii="Arial" w:hAnsi="Arial" w:cs="Arial"/>
              <w:bCs/>
              <w:sz w:val="20"/>
              <w:szCs w:val="20"/>
            </w:rPr>
            <w:t>.</w:t>
          </w:r>
        </w:p>
        <w:p w14:paraId="24ABD8AC" w14:textId="77777777" w:rsidR="00925619" w:rsidRDefault="00925619" w:rsidP="00925619">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 xml:space="preserve">Para inicios del mes de diciembre quedaron en firme los contratos 0432018000100031-00 de la sub partida 1.04.99, 0432018000100027-00 de la sub partida 1.02.03, 0432018000100028-00 de la sub partida 1.04.06 y 0432018000100038-00 de la sub partida 1.08.07, lo cual no permitió una eficiente ejecución de los mismos. </w:t>
          </w:r>
        </w:p>
        <w:p w14:paraId="6FA4115A" w14:textId="77777777" w:rsidR="00925619" w:rsidRDefault="00925619" w:rsidP="00925619">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lastRenderedPageBreak/>
            <w:t>El no pago de los incrementos proyectados, según lo estipulado en los contratos de arrendamiento de las diferentes oficinas institucionales, debido a que el IPC fue menor al estimado, generó un remanente por concepto de alquileres.</w:t>
          </w:r>
        </w:p>
        <w:p w14:paraId="043AA5DB" w14:textId="77777777" w:rsidR="00925619" w:rsidRPr="007E67CB" w:rsidRDefault="00925619" w:rsidP="00A42769">
          <w:pPr>
            <w:pStyle w:val="Prrafodelista"/>
            <w:numPr>
              <w:ilvl w:val="0"/>
              <w:numId w:val="21"/>
            </w:numPr>
            <w:spacing w:line="276" w:lineRule="auto"/>
            <w:jc w:val="both"/>
            <w:rPr>
              <w:rFonts w:cs="Arial"/>
              <w:sz w:val="20"/>
              <w:szCs w:val="20"/>
            </w:rPr>
          </w:pPr>
          <w:r w:rsidRPr="007E67CB">
            <w:rPr>
              <w:rFonts w:ascii="Arial" w:hAnsi="Arial" w:cs="Arial"/>
              <w:bCs/>
              <w:sz w:val="20"/>
              <w:szCs w:val="20"/>
            </w:rPr>
            <w:t xml:space="preserve">Las previsiones presupuestarias para sub partidas que bien pueden ser utilizadas por cuestiones imprevisibles como 1.03.04 Transporte de bienes, 1.99.05 Deducibles u otras, no permiten un amplio margen de maniobra para su total ejecución, toda vez que su utilización en muchas ocasiones se deriva precisamente de la imprevisibilidad. </w:t>
          </w:r>
        </w:p>
        <w:p w14:paraId="58F97549" w14:textId="77777777" w:rsidR="007E67CB" w:rsidRPr="007E67CB" w:rsidRDefault="007E67CB" w:rsidP="007E67CB">
          <w:pPr>
            <w:spacing w:line="276" w:lineRule="auto"/>
            <w:jc w:val="both"/>
            <w:rPr>
              <w:rFonts w:cs="Arial"/>
              <w:sz w:val="20"/>
              <w:szCs w:val="20"/>
            </w:rPr>
          </w:pPr>
        </w:p>
        <w:p w14:paraId="75154A3B" w14:textId="77777777" w:rsidR="007E67CB" w:rsidRDefault="00925619" w:rsidP="00E56860">
          <w:pPr>
            <w:pStyle w:val="Textoindependiente"/>
            <w:numPr>
              <w:ilvl w:val="0"/>
              <w:numId w:val="21"/>
            </w:numPr>
            <w:spacing w:line="276" w:lineRule="auto"/>
            <w:jc w:val="both"/>
            <w:outlineLvl w:val="0"/>
            <w:rPr>
              <w:rFonts w:ascii="Arial" w:hAnsi="Arial" w:cs="Arial"/>
              <w:bCs/>
              <w:sz w:val="20"/>
              <w:szCs w:val="20"/>
            </w:rPr>
          </w:pPr>
          <w:r w:rsidRPr="007E67CB">
            <w:rPr>
              <w:rFonts w:ascii="Arial" w:hAnsi="Arial" w:cs="Arial"/>
              <w:bCs/>
              <w:sz w:val="20"/>
              <w:szCs w:val="20"/>
            </w:rPr>
            <w:t>Al contar con un contrato de alquiler de impresoras, el cual incluye el tóner para las mismas, es la razón por la cual no se ejecutaron recursos de la sub partida 2.01.04.</w:t>
          </w:r>
        </w:p>
        <w:p w14:paraId="4CCDBC08" w14:textId="77777777" w:rsidR="00925619" w:rsidRPr="007E67CB" w:rsidRDefault="00925619" w:rsidP="00E56860">
          <w:pPr>
            <w:pStyle w:val="Textoindependiente"/>
            <w:numPr>
              <w:ilvl w:val="0"/>
              <w:numId w:val="21"/>
            </w:numPr>
            <w:spacing w:line="276" w:lineRule="auto"/>
            <w:jc w:val="both"/>
            <w:outlineLvl w:val="0"/>
            <w:rPr>
              <w:rFonts w:ascii="Arial" w:hAnsi="Arial" w:cs="Arial"/>
              <w:bCs/>
              <w:sz w:val="20"/>
              <w:szCs w:val="20"/>
            </w:rPr>
          </w:pPr>
          <w:r w:rsidRPr="007E67CB">
            <w:rPr>
              <w:rFonts w:ascii="Arial" w:hAnsi="Arial" w:cs="Arial"/>
              <w:bCs/>
              <w:sz w:val="20"/>
              <w:szCs w:val="20"/>
            </w:rPr>
            <w:t xml:space="preserve">La sub ejecución de la sub partida 2.01.01 Combustible, se dio debido a que el trabajo de las oficinas regionales se centró en su mayoría en atención de la dirigencia regional de las mismas oficinas. </w:t>
          </w:r>
        </w:p>
        <w:p w14:paraId="0BB36FD4" w14:textId="77777777" w:rsidR="007E67CB" w:rsidRDefault="007E67CB" w:rsidP="007E67CB">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Los remanentes producto de contrataciones administrativas en las cuales las ofertas presentadas para las adjudicaciones fueron menores a las presentadas para el estudio de mercado (indispensable de llevar a cabo previo al inicio de la gestión), incidieron igualmente en varias sub partidas.</w:t>
          </w:r>
        </w:p>
        <w:p w14:paraId="7DD5C139" w14:textId="77777777" w:rsidR="00925619" w:rsidRDefault="00925619" w:rsidP="007E67CB">
          <w:pPr>
            <w:pStyle w:val="Textoindependiente"/>
            <w:numPr>
              <w:ilvl w:val="0"/>
              <w:numId w:val="21"/>
            </w:numPr>
            <w:spacing w:line="276" w:lineRule="auto"/>
            <w:jc w:val="both"/>
            <w:outlineLvl w:val="0"/>
            <w:rPr>
              <w:rFonts w:ascii="Arial" w:hAnsi="Arial" w:cs="Arial"/>
              <w:bCs/>
              <w:sz w:val="20"/>
              <w:szCs w:val="20"/>
            </w:rPr>
          </w:pPr>
          <w:r>
            <w:rPr>
              <w:rFonts w:ascii="Arial" w:hAnsi="Arial" w:cs="Arial"/>
              <w:bCs/>
              <w:sz w:val="20"/>
              <w:szCs w:val="20"/>
            </w:rPr>
            <w:t>El remanente se da de la cancelación del contrato para renovación de licencias de informática, que al ser el pago en dólares se debe incrementar un 10% por el diferencial del tipo de cambio.</w:t>
          </w:r>
        </w:p>
        <w:p w14:paraId="0C62A42B" w14:textId="77777777" w:rsidR="00925619" w:rsidRDefault="00925619" w:rsidP="007E67CB">
          <w:pPr>
            <w:pStyle w:val="Prrafodelista"/>
            <w:numPr>
              <w:ilvl w:val="0"/>
              <w:numId w:val="21"/>
            </w:numPr>
            <w:spacing w:after="120"/>
            <w:jc w:val="both"/>
            <w:rPr>
              <w:rFonts w:ascii="Arial" w:hAnsi="Arial" w:cs="Arial"/>
              <w:bCs/>
              <w:sz w:val="20"/>
              <w:szCs w:val="20"/>
            </w:rPr>
          </w:pPr>
          <w:r>
            <w:rPr>
              <w:rFonts w:ascii="Arial" w:hAnsi="Arial" w:cs="Arial"/>
              <w:bCs/>
              <w:sz w:val="20"/>
              <w:szCs w:val="20"/>
            </w:rPr>
            <w:t xml:space="preserve">De la totalidad de los recursos destinados a las Organizaciones Comunales en la sub partida 6.04.01-204, la Tesorería Nacional libero únicamente el 90%, lo que significó una sub ejecución de ¢570.765.000.00 </w:t>
          </w:r>
        </w:p>
        <w:p w14:paraId="3F40ADDC" w14:textId="77777777" w:rsidR="00925619" w:rsidRDefault="00925619" w:rsidP="007E67CB">
          <w:pPr>
            <w:pStyle w:val="Prrafodelista"/>
            <w:numPr>
              <w:ilvl w:val="0"/>
              <w:numId w:val="21"/>
            </w:numPr>
            <w:spacing w:after="120"/>
            <w:jc w:val="both"/>
            <w:rPr>
              <w:rFonts w:ascii="Arial" w:hAnsi="Arial" w:cs="Arial"/>
              <w:bCs/>
              <w:sz w:val="20"/>
              <w:szCs w:val="20"/>
            </w:rPr>
          </w:pPr>
          <w:r>
            <w:rPr>
              <w:rFonts w:ascii="Arial" w:hAnsi="Arial" w:cs="Arial"/>
              <w:bCs/>
              <w:sz w:val="20"/>
              <w:szCs w:val="20"/>
            </w:rPr>
            <w:t xml:space="preserve">De la totalidad de los recursos destinados a las Organizaciones Comunales correspondientes al Impuesto al Cemento, al momento de giro únicamente había recaudado el 83.50% de los recursos. </w:t>
          </w:r>
        </w:p>
        <w:p w14:paraId="2F5A9927" w14:textId="77777777" w:rsidR="00925619" w:rsidRPr="007E67CB" w:rsidRDefault="00925619" w:rsidP="007E67CB">
          <w:pPr>
            <w:pStyle w:val="Prrafodelista"/>
            <w:numPr>
              <w:ilvl w:val="0"/>
              <w:numId w:val="21"/>
            </w:numPr>
            <w:spacing w:line="360" w:lineRule="auto"/>
            <w:jc w:val="both"/>
            <w:rPr>
              <w:rFonts w:ascii="Arial" w:hAnsi="Arial" w:cs="Arial"/>
              <w:sz w:val="20"/>
              <w:szCs w:val="20"/>
              <w:lang w:val="es-ES_tradnl"/>
            </w:rPr>
          </w:pPr>
          <w:r w:rsidRPr="007E67CB">
            <w:rPr>
              <w:rFonts w:ascii="Arial" w:hAnsi="Arial" w:cs="Arial"/>
              <w:bCs/>
              <w:sz w:val="20"/>
              <w:szCs w:val="20"/>
            </w:rPr>
            <w:t>De la totalidad de los recursos destinados a las Organizaciones Comunales en la sub partida 7.03.01-206, la Tesorería Nacional libero únicamente el 90%, lo que significó una sub ejecución de ¢570.765.000.00.</w:t>
          </w:r>
        </w:p>
        <w:p w14:paraId="41B24AE7" w14:textId="77777777" w:rsidR="00925619" w:rsidRDefault="00925619" w:rsidP="00384757">
          <w:pPr>
            <w:spacing w:line="360" w:lineRule="auto"/>
            <w:jc w:val="both"/>
            <w:rPr>
              <w:rFonts w:ascii="Arial" w:hAnsi="Arial" w:cs="Arial"/>
              <w:sz w:val="20"/>
              <w:szCs w:val="20"/>
              <w:lang w:val="es-ES_tradnl"/>
            </w:rPr>
          </w:pPr>
        </w:p>
        <w:p w14:paraId="740649C1" w14:textId="77777777" w:rsidR="008D53FA" w:rsidRPr="008D53FA" w:rsidRDefault="008D53FA" w:rsidP="00384757">
          <w:pPr>
            <w:spacing w:line="360" w:lineRule="auto"/>
            <w:jc w:val="both"/>
            <w:rPr>
              <w:rFonts w:ascii="Arial" w:hAnsi="Arial" w:cs="Arial"/>
              <w:b/>
              <w:sz w:val="20"/>
              <w:szCs w:val="20"/>
              <w:highlight w:val="yellow"/>
              <w:lang w:val="es-ES_tradnl"/>
            </w:rPr>
          </w:pPr>
        </w:p>
        <w:p w14:paraId="30487942" w14:textId="77777777" w:rsidR="00384757" w:rsidRDefault="00384757" w:rsidP="00384757">
          <w:pPr>
            <w:spacing w:line="360" w:lineRule="auto"/>
            <w:jc w:val="both"/>
            <w:rPr>
              <w:rFonts w:ascii="Arial" w:hAnsi="Arial" w:cs="Arial"/>
              <w:sz w:val="20"/>
              <w:szCs w:val="20"/>
              <w:lang w:val="es-ES_tradnl"/>
            </w:rPr>
          </w:pPr>
          <w:r w:rsidRPr="00051CDD">
            <w:rPr>
              <w:rFonts w:ascii="Arial" w:hAnsi="Arial" w:cs="Arial"/>
              <w:sz w:val="20"/>
              <w:szCs w:val="20"/>
              <w:lang w:val="es-ES_tradnl"/>
            </w:rPr>
            <w:t xml:space="preserve">Refiérase a las modificaciones presupuestarias tramitadas durante el año, señalando la cantidad realizada (distinguir entre programados y no programados), los montos de cada una, las necesidades institucionales que justificaron cada una de las modificaciones </w:t>
          </w:r>
          <w:r w:rsidRPr="00051CDD">
            <w:rPr>
              <w:rFonts w:ascii="Arial" w:hAnsi="Arial" w:cs="Arial"/>
              <w:b/>
              <w:sz w:val="20"/>
              <w:szCs w:val="20"/>
              <w:u w:val="single"/>
              <w:lang w:val="es-ES_tradnl"/>
            </w:rPr>
            <w:t>a nivel general</w:t>
          </w:r>
          <w:r w:rsidRPr="00051CDD">
            <w:rPr>
              <w:rFonts w:ascii="Arial" w:hAnsi="Arial" w:cs="Arial"/>
              <w:sz w:val="20"/>
              <w:szCs w:val="20"/>
              <w:lang w:val="es-ES_tradnl"/>
            </w:rPr>
            <w:t>, (no realizar</w:t>
          </w:r>
          <w:bookmarkStart w:id="8" w:name="_GoBack"/>
          <w:bookmarkEnd w:id="8"/>
          <w:r w:rsidRPr="00051CDD">
            <w:rPr>
              <w:rFonts w:ascii="Arial" w:hAnsi="Arial" w:cs="Arial"/>
              <w:sz w:val="20"/>
              <w:szCs w:val="20"/>
              <w:lang w:val="es-ES_tradnl"/>
            </w:rPr>
            <w:t xml:space="preserve"> el análisis en detalle por partida y/o subpartida).</w:t>
          </w:r>
          <w:r>
            <w:rPr>
              <w:rFonts w:ascii="Arial" w:hAnsi="Arial" w:cs="Arial"/>
              <w:sz w:val="20"/>
              <w:szCs w:val="20"/>
              <w:lang w:val="es-ES_tradnl"/>
            </w:rPr>
            <w:t xml:space="preserve"> </w:t>
          </w:r>
        </w:p>
        <w:p w14:paraId="6760B476" w14:textId="77777777" w:rsidR="006674BF" w:rsidRDefault="006674BF" w:rsidP="00384757">
          <w:pPr>
            <w:spacing w:line="360" w:lineRule="auto"/>
            <w:jc w:val="both"/>
            <w:rPr>
              <w:rFonts w:ascii="Arial" w:hAnsi="Arial" w:cs="Arial"/>
              <w:sz w:val="20"/>
              <w:szCs w:val="20"/>
              <w:lang w:val="es-ES_tradnl"/>
            </w:rPr>
          </w:pPr>
        </w:p>
        <w:p w14:paraId="03F80AC2" w14:textId="77777777" w:rsidR="006674BF" w:rsidRPr="00051CDD" w:rsidRDefault="006674BF" w:rsidP="00BA31B9">
          <w:pPr>
            <w:spacing w:line="360" w:lineRule="auto"/>
            <w:jc w:val="both"/>
            <w:rPr>
              <w:rFonts w:ascii="Arial" w:hAnsi="Arial" w:cs="Arial"/>
              <w:sz w:val="20"/>
              <w:szCs w:val="20"/>
              <w:lang w:val="es-ES_tradnl"/>
            </w:rPr>
          </w:pPr>
          <w:r>
            <w:rPr>
              <w:rFonts w:ascii="Arial" w:hAnsi="Arial" w:cs="Arial"/>
              <w:sz w:val="20"/>
              <w:szCs w:val="20"/>
              <w:lang w:val="es-ES_tradnl"/>
            </w:rPr>
            <w:t>Para el periodo 2018, la institución realizo la cantidad de 3</w:t>
          </w:r>
          <w:r w:rsidR="001469DE">
            <w:rPr>
              <w:rFonts w:ascii="Arial" w:hAnsi="Arial" w:cs="Arial"/>
              <w:sz w:val="20"/>
              <w:szCs w:val="20"/>
              <w:lang w:val="es-ES_tradnl"/>
            </w:rPr>
            <w:t xml:space="preserve"> modificaciones presupuestarias, las cuales se desglosan de la siguiente manera:</w:t>
          </w:r>
          <w:r w:rsidR="00051CDD">
            <w:rPr>
              <w:rFonts w:ascii="Arial" w:hAnsi="Arial" w:cs="Arial"/>
              <w:sz w:val="20"/>
              <w:szCs w:val="20"/>
              <w:lang w:val="es-ES_tradnl"/>
            </w:rPr>
            <w:t xml:space="preserve"> </w:t>
          </w:r>
          <w:r w:rsidR="001469DE" w:rsidRPr="00051CDD">
            <w:rPr>
              <w:rFonts w:ascii="Arial" w:hAnsi="Arial" w:cs="Arial"/>
              <w:sz w:val="20"/>
              <w:szCs w:val="20"/>
              <w:lang w:val="es-ES_tradnl"/>
            </w:rPr>
            <w:t>Modificación para Compromisos No Devengados ¢33.423.00</w:t>
          </w:r>
          <w:r w:rsidR="00051CDD" w:rsidRPr="00051CDD">
            <w:rPr>
              <w:rFonts w:ascii="Arial" w:hAnsi="Arial" w:cs="Arial"/>
              <w:sz w:val="20"/>
              <w:szCs w:val="20"/>
              <w:lang w:val="es-ES_tradnl"/>
            </w:rPr>
            <w:t xml:space="preserve"> s</w:t>
          </w:r>
          <w:r w:rsidR="001469DE" w:rsidRPr="00051CDD">
            <w:rPr>
              <w:rFonts w:ascii="Arial" w:hAnsi="Arial" w:cs="Arial"/>
              <w:sz w:val="20"/>
              <w:szCs w:val="20"/>
              <w:lang w:val="es-ES_tradnl"/>
            </w:rPr>
            <w:t>e da por la necesidad de cubrir faltante en la sub partida 1.03.06 por arrastre del 2017</w:t>
          </w:r>
          <w:r w:rsidR="00051CDD" w:rsidRPr="00051CDD">
            <w:rPr>
              <w:rFonts w:ascii="Arial" w:hAnsi="Arial" w:cs="Arial"/>
              <w:sz w:val="20"/>
              <w:szCs w:val="20"/>
              <w:lang w:val="es-ES_tradnl"/>
            </w:rPr>
            <w:t xml:space="preserve">. </w:t>
          </w:r>
          <w:r w:rsidR="001469DE" w:rsidRPr="00051CDD">
            <w:rPr>
              <w:rFonts w:ascii="Arial" w:hAnsi="Arial" w:cs="Arial"/>
              <w:sz w:val="20"/>
              <w:szCs w:val="20"/>
              <w:lang w:val="es-ES_tradnl"/>
            </w:rPr>
            <w:t>Modificación para</w:t>
          </w:r>
          <w:r w:rsidR="00051CDD" w:rsidRPr="00051CDD">
            <w:rPr>
              <w:rFonts w:ascii="Arial" w:hAnsi="Arial" w:cs="Arial"/>
              <w:sz w:val="20"/>
              <w:szCs w:val="20"/>
              <w:lang w:val="es-ES_tradnl"/>
            </w:rPr>
            <w:t xml:space="preserve"> el Tercer Decreto Ejecutivo</w:t>
          </w:r>
          <w:r w:rsidR="001469DE" w:rsidRPr="00051CDD">
            <w:rPr>
              <w:rFonts w:ascii="Arial" w:hAnsi="Arial" w:cs="Arial"/>
              <w:sz w:val="20"/>
              <w:szCs w:val="20"/>
              <w:lang w:val="es-ES_tradnl"/>
            </w:rPr>
            <w:t xml:space="preserve"> ¢ 25.642.820.00</w:t>
          </w:r>
          <w:r w:rsidR="00051CDD" w:rsidRPr="00051CDD">
            <w:rPr>
              <w:rFonts w:ascii="Arial" w:hAnsi="Arial" w:cs="Arial"/>
              <w:sz w:val="20"/>
              <w:szCs w:val="20"/>
              <w:lang w:val="es-ES_tradnl"/>
            </w:rPr>
            <w:t xml:space="preserve">: </w:t>
          </w:r>
          <w:r w:rsidR="001469DE" w:rsidRPr="00051CDD">
            <w:rPr>
              <w:rFonts w:ascii="Arial" w:hAnsi="Arial" w:cs="Arial"/>
              <w:sz w:val="20"/>
              <w:szCs w:val="20"/>
              <w:lang w:val="es-ES_tradnl"/>
            </w:rPr>
            <w:t>La modificación se da por la necesidad de cubrir necesidades</w:t>
          </w:r>
          <w:r w:rsidR="00BA31B9" w:rsidRPr="00051CDD">
            <w:rPr>
              <w:rFonts w:ascii="Arial" w:hAnsi="Arial" w:cs="Arial"/>
              <w:sz w:val="20"/>
              <w:szCs w:val="20"/>
              <w:lang w:val="es-ES_tradnl"/>
            </w:rPr>
            <w:t xml:space="preserve"> institucionales, tal y como se justificó en su momento, de </w:t>
          </w:r>
          <w:r w:rsidR="00BA31B9" w:rsidRPr="00051CDD">
            <w:rPr>
              <w:rFonts w:ascii="Arial" w:hAnsi="Arial" w:cs="Arial"/>
              <w:sz w:val="20"/>
              <w:szCs w:val="20"/>
              <w:lang w:val="es-ES_tradnl"/>
            </w:rPr>
            <w:lastRenderedPageBreak/>
            <w:t>esta solicitud la Dirección de Presupuesto Nacional dejo sin efecto el monto de ¢15.640.000.00 correspondientes a las sub part</w:t>
          </w:r>
          <w:r w:rsidR="00051CDD" w:rsidRPr="00051CDD">
            <w:rPr>
              <w:rFonts w:ascii="Arial" w:hAnsi="Arial" w:cs="Arial"/>
              <w:sz w:val="20"/>
              <w:szCs w:val="20"/>
              <w:lang w:val="es-ES_tradnl"/>
            </w:rPr>
            <w:t xml:space="preserve">idas 1.04.99, 1.06.01 y 5.01.05 y </w:t>
          </w:r>
          <w:r w:rsidR="00BA31B9" w:rsidRPr="00051CDD">
            <w:rPr>
              <w:rFonts w:ascii="Arial" w:hAnsi="Arial" w:cs="Arial"/>
              <w:sz w:val="20"/>
              <w:szCs w:val="20"/>
              <w:lang w:val="es-ES_tradnl"/>
            </w:rPr>
            <w:t xml:space="preserve">Modificación para el Cuarto </w:t>
          </w:r>
          <w:r w:rsidR="00051CDD" w:rsidRPr="00051CDD">
            <w:rPr>
              <w:rFonts w:ascii="Arial" w:hAnsi="Arial" w:cs="Arial"/>
              <w:sz w:val="20"/>
              <w:szCs w:val="20"/>
              <w:lang w:val="es-ES_tradnl"/>
            </w:rPr>
            <w:t>Decreto Ejecutivo</w:t>
          </w:r>
          <w:r w:rsidR="00BA31B9" w:rsidRPr="00051CDD">
            <w:rPr>
              <w:rFonts w:ascii="Arial" w:hAnsi="Arial" w:cs="Arial"/>
              <w:sz w:val="20"/>
              <w:szCs w:val="20"/>
              <w:lang w:val="es-ES_tradnl"/>
            </w:rPr>
            <w:t xml:space="preserve"> ¢ 16.950.000.00</w:t>
          </w:r>
          <w:r w:rsidR="00051CDD" w:rsidRPr="00051CDD">
            <w:rPr>
              <w:rFonts w:ascii="Arial" w:hAnsi="Arial" w:cs="Arial"/>
              <w:sz w:val="20"/>
              <w:szCs w:val="20"/>
              <w:lang w:val="es-ES_tradnl"/>
            </w:rPr>
            <w:t xml:space="preserve">: </w:t>
          </w:r>
          <w:r w:rsidR="00BA31B9" w:rsidRPr="00051CDD">
            <w:rPr>
              <w:rFonts w:ascii="Arial" w:hAnsi="Arial" w:cs="Arial"/>
              <w:sz w:val="20"/>
              <w:szCs w:val="20"/>
              <w:lang w:val="es-ES_tradnl"/>
            </w:rPr>
            <w:t>La modificación se da por la necesidad de cubrir necesidades institucionales en servicios públicos, contratos por servicios continuos vigentes y pago de incapacidades.</w:t>
          </w:r>
        </w:p>
        <w:p w14:paraId="5DC15991" w14:textId="77777777" w:rsidR="0071547A" w:rsidRDefault="0071547A" w:rsidP="00384757">
          <w:pPr>
            <w:spacing w:line="360" w:lineRule="auto"/>
            <w:jc w:val="both"/>
            <w:rPr>
              <w:rFonts w:ascii="Arial" w:hAnsi="Arial" w:cs="Arial"/>
              <w:sz w:val="20"/>
              <w:szCs w:val="20"/>
              <w:lang w:val="es-ES_tradnl"/>
            </w:rPr>
          </w:pPr>
        </w:p>
        <w:p w14:paraId="5D95E624" w14:textId="77777777" w:rsidR="00BA31B9" w:rsidRDefault="00BA31B9" w:rsidP="00384757">
          <w:pPr>
            <w:spacing w:line="360" w:lineRule="auto"/>
            <w:jc w:val="both"/>
            <w:rPr>
              <w:rFonts w:ascii="Arial" w:hAnsi="Arial" w:cs="Arial"/>
              <w:sz w:val="20"/>
              <w:szCs w:val="20"/>
              <w:lang w:val="es-ES_tradnl"/>
            </w:rPr>
          </w:pPr>
        </w:p>
        <w:p w14:paraId="5AAAE471" w14:textId="77777777" w:rsidR="00384757" w:rsidRDefault="00384757" w:rsidP="00384757">
          <w:pPr>
            <w:pStyle w:val="Ttulo2"/>
            <w:numPr>
              <w:ilvl w:val="0"/>
              <w:numId w:val="0"/>
            </w:numPr>
            <w:jc w:val="both"/>
            <w:rPr>
              <w:rFonts w:ascii="Arial" w:eastAsiaTheme="majorEastAsia" w:hAnsi="Arial" w:cstheme="majorBidi"/>
              <w:iCs/>
              <w:smallCaps/>
              <w:color w:val="000000" w:themeColor="text1"/>
              <w:spacing w:val="15"/>
              <w:sz w:val="22"/>
            </w:rPr>
          </w:pPr>
          <w:bookmarkStart w:id="9" w:name="_Toc531253882"/>
          <w:r>
            <w:rPr>
              <w:rFonts w:ascii="Arial" w:eastAsiaTheme="majorEastAsia" w:hAnsi="Arial" w:cstheme="majorBidi"/>
              <w:iCs/>
              <w:smallCaps/>
              <w:color w:val="000000" w:themeColor="text1"/>
              <w:spacing w:val="15"/>
              <w:sz w:val="22"/>
            </w:rPr>
            <w:t>Factores y acciones correctivas de la ejecución FINANCIERA (debe presentarse a nivel de programa y/o subprograma)</w:t>
          </w:r>
          <w:bookmarkEnd w:id="9"/>
        </w:p>
        <w:p w14:paraId="690ABC6F" w14:textId="77777777" w:rsidR="00384757" w:rsidRDefault="00384757" w:rsidP="00384757">
          <w:pPr>
            <w:rPr>
              <w:rFonts w:ascii="Arial" w:hAnsi="Arial" w:cs="Arial"/>
              <w:b/>
              <w:bCs/>
              <w:sz w:val="20"/>
              <w:szCs w:val="20"/>
              <w:u w:val="single"/>
            </w:rPr>
          </w:pPr>
        </w:p>
        <w:p w14:paraId="5BEBD20D" w14:textId="77777777" w:rsidR="00384757" w:rsidRDefault="00384757" w:rsidP="00384757">
          <w:pPr>
            <w:spacing w:after="120" w:line="360" w:lineRule="auto"/>
            <w:jc w:val="both"/>
            <w:rPr>
              <w:rFonts w:ascii="Arial" w:hAnsi="Arial" w:cs="Arial"/>
              <w:bCs/>
              <w:color w:val="0070C0"/>
              <w:sz w:val="20"/>
              <w:szCs w:val="20"/>
            </w:rPr>
          </w:pPr>
          <w:r>
            <w:rPr>
              <w:rFonts w:ascii="Arial" w:hAnsi="Arial" w:cs="Arial"/>
              <w:sz w:val="20"/>
              <w:szCs w:val="20"/>
              <w:lang w:val="es-ES_tradnl"/>
            </w:rPr>
            <w:t xml:space="preserve">De acuerdo a los resultados a nivel de programa y/o subprograma complete la siguiente información con las partidas </w:t>
          </w:r>
          <w:r>
            <w:rPr>
              <w:rFonts w:ascii="Arial" w:hAnsi="Arial" w:cs="Arial"/>
              <w:bCs/>
              <w:sz w:val="20"/>
              <w:szCs w:val="20"/>
            </w:rPr>
            <w:t>que presenten un porcentaje de ejecución presupuestaria inferior o igual al 90,0% sin considerar el recurso externo.</w:t>
          </w:r>
          <w:r>
            <w:rPr>
              <w:rFonts w:ascii="Arial" w:hAnsi="Arial" w:cs="Arial"/>
              <w:bCs/>
              <w:color w:val="0070C0"/>
              <w:sz w:val="20"/>
              <w:szCs w:val="20"/>
            </w:rPr>
            <w:t xml:space="preserve"> </w:t>
          </w:r>
        </w:p>
        <w:p w14:paraId="00E633DD" w14:textId="77777777" w:rsidR="00384757" w:rsidRDefault="00384757" w:rsidP="00384757">
          <w:pPr>
            <w:spacing w:after="120" w:line="360" w:lineRule="auto"/>
            <w:jc w:val="both"/>
            <w:rPr>
              <w:rFonts w:ascii="Arial" w:hAnsi="Arial" w:cs="Arial"/>
              <w:b/>
              <w:bCs/>
              <w:i/>
              <w:sz w:val="20"/>
              <w:szCs w:val="20"/>
            </w:rPr>
          </w:pPr>
          <w:r>
            <w:rPr>
              <w:rFonts w:ascii="Arial" w:hAnsi="Arial" w:cs="Arial"/>
              <w:b/>
              <w:bCs/>
              <w:sz w:val="20"/>
              <w:szCs w:val="20"/>
            </w:rPr>
            <w:t>Nota:</w:t>
          </w:r>
          <w:r>
            <w:rPr>
              <w:rFonts w:ascii="Arial" w:hAnsi="Arial" w:cs="Arial"/>
              <w:bCs/>
              <w:color w:val="0070C0"/>
              <w:sz w:val="20"/>
              <w:szCs w:val="20"/>
            </w:rPr>
            <w:t xml:space="preserve"> </w:t>
          </w:r>
          <w:r>
            <w:rPr>
              <w:rFonts w:ascii="Arial" w:hAnsi="Arial" w:cs="Arial"/>
              <w:b/>
              <w:bCs/>
              <w:i/>
              <w:sz w:val="20"/>
              <w:szCs w:val="20"/>
            </w:rPr>
            <w:t>Se debe elaborar un cuadro por programa / subprograma, y en caso de requerir utilizar más de un cuadro, la numeración debe establecerse de la siguiente forma 1.1, 1.2.</w:t>
          </w:r>
        </w:p>
        <w:p w14:paraId="1A60516C" w14:textId="77777777" w:rsidR="00384757" w:rsidRDefault="00384757" w:rsidP="00384757">
          <w:pPr>
            <w:jc w:val="center"/>
            <w:rPr>
              <w:rFonts w:ascii="Arial" w:hAnsi="Arial" w:cs="Arial"/>
              <w:b/>
              <w:sz w:val="20"/>
              <w:szCs w:val="20"/>
              <w:lang w:val="es-ES_tradnl"/>
            </w:rPr>
          </w:pPr>
        </w:p>
        <w:p w14:paraId="7C204F2F" w14:textId="77777777" w:rsidR="00384757" w:rsidRDefault="00384757" w:rsidP="00384757">
          <w:pPr>
            <w:jc w:val="center"/>
            <w:rPr>
              <w:rFonts w:ascii="Arial" w:hAnsi="Arial" w:cs="Arial"/>
              <w:b/>
              <w:sz w:val="20"/>
              <w:szCs w:val="20"/>
              <w:lang w:val="es-ES_tradnl"/>
            </w:rPr>
          </w:pPr>
          <w:r>
            <w:rPr>
              <w:rFonts w:ascii="Arial" w:hAnsi="Arial" w:cs="Arial"/>
              <w:b/>
              <w:sz w:val="20"/>
              <w:szCs w:val="20"/>
              <w:lang w:val="es-ES_tradnl"/>
            </w:rPr>
            <w:t>Cuadro 1.1</w:t>
          </w:r>
        </w:p>
        <w:p w14:paraId="7E8AB731" w14:textId="77777777" w:rsidR="00384757" w:rsidRDefault="00384757" w:rsidP="00384757">
          <w:pPr>
            <w:jc w:val="center"/>
            <w:rPr>
              <w:rFonts w:ascii="Arial" w:hAnsi="Arial" w:cs="Arial"/>
              <w:sz w:val="20"/>
              <w:szCs w:val="20"/>
              <w:lang w:val="es-ES_tradnl"/>
            </w:rPr>
          </w:pPr>
          <w:r>
            <w:rPr>
              <w:rFonts w:ascii="Arial" w:hAnsi="Arial" w:cs="Arial"/>
              <w:sz w:val="20"/>
              <w:szCs w:val="20"/>
              <w:lang w:val="es-ES_tradnl"/>
            </w:rPr>
            <w:t>Dirección Nacional de Desarrollo de la Comunidad</w:t>
          </w:r>
        </w:p>
        <w:p w14:paraId="2AA2D7CD" w14:textId="77777777" w:rsidR="00384757" w:rsidRDefault="00384757" w:rsidP="00384757">
          <w:pPr>
            <w:jc w:val="center"/>
            <w:rPr>
              <w:rFonts w:ascii="Arial" w:hAnsi="Arial" w:cs="Arial"/>
              <w:sz w:val="20"/>
              <w:szCs w:val="20"/>
              <w:lang w:val="es-ES_tradnl"/>
            </w:rPr>
          </w:pPr>
          <w:r>
            <w:rPr>
              <w:rFonts w:ascii="Arial" w:hAnsi="Arial" w:cs="Arial"/>
              <w:sz w:val="20"/>
              <w:szCs w:val="20"/>
              <w:lang w:val="es-ES_tradnl"/>
            </w:rPr>
            <w:t>Factores y acciones correctivas para resultados inferiores o iguales a 90% de ejecución</w:t>
          </w:r>
        </w:p>
        <w:p w14:paraId="443D96D5" w14:textId="77777777" w:rsidR="00384757" w:rsidRDefault="00384757" w:rsidP="00384757">
          <w:pPr>
            <w:jc w:val="center"/>
            <w:rPr>
              <w:rFonts w:ascii="Arial" w:hAnsi="Arial" w:cs="Arial"/>
              <w:sz w:val="20"/>
              <w:szCs w:val="20"/>
              <w:lang w:val="es-ES_tradnl"/>
            </w:rPr>
          </w:pPr>
          <w:r>
            <w:rPr>
              <w:rFonts w:ascii="Arial" w:hAnsi="Arial" w:cs="Arial"/>
              <w:sz w:val="20"/>
              <w:szCs w:val="20"/>
              <w:lang w:val="es-ES_tradnl"/>
            </w:rPr>
            <w:t>Al 31 de diciembre 2018</w:t>
          </w:r>
        </w:p>
        <w:tbl>
          <w:tblPr>
            <w:tblStyle w:val="Listaclara-nfasis5"/>
            <w:tblW w:w="10372" w:type="dxa"/>
            <w:jc w:val="center"/>
            <w:tblBorders>
              <w:insideH w:val="single" w:sz="6" w:space="0" w:color="4BACC6" w:themeColor="accent5"/>
              <w:insideV w:val="single" w:sz="6" w:space="0" w:color="4BACC6" w:themeColor="accent5"/>
            </w:tblBorders>
            <w:tblLook w:val="04A0" w:firstRow="1" w:lastRow="0" w:firstColumn="1" w:lastColumn="0" w:noHBand="0" w:noVBand="1"/>
          </w:tblPr>
          <w:tblGrid>
            <w:gridCol w:w="1667"/>
            <w:gridCol w:w="932"/>
            <w:gridCol w:w="1467"/>
            <w:gridCol w:w="1547"/>
            <w:gridCol w:w="1741"/>
            <w:gridCol w:w="1545"/>
            <w:gridCol w:w="1473"/>
          </w:tblGrid>
          <w:tr w:rsidR="001D6D28" w14:paraId="4702F864" w14:textId="77777777" w:rsidTr="00845C2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4BACC6" w:themeColor="accent5"/>
                  <w:left w:val="single" w:sz="8" w:space="0" w:color="4BACC6" w:themeColor="accent5"/>
                  <w:bottom w:val="single" w:sz="6" w:space="0" w:color="4BACC6" w:themeColor="accent5"/>
                  <w:right w:val="single" w:sz="6" w:space="0" w:color="4BACC6" w:themeColor="accent5"/>
                </w:tcBorders>
                <w:hideMark/>
              </w:tcPr>
              <w:p w14:paraId="09D04E89" w14:textId="77777777" w:rsidR="00384757" w:rsidRDefault="00384757">
                <w:pPr>
                  <w:spacing w:after="120"/>
                  <w:jc w:val="center"/>
                  <w:rPr>
                    <w:rFonts w:ascii="Arial" w:hAnsi="Arial" w:cs="Arial"/>
                    <w:bCs w:val="0"/>
                    <w:sz w:val="14"/>
                    <w:szCs w:val="20"/>
                  </w:rPr>
                </w:pPr>
                <w:r>
                  <w:rPr>
                    <w:rFonts w:ascii="Arial" w:hAnsi="Arial" w:cs="Arial"/>
                    <w:bCs w:val="0"/>
                    <w:sz w:val="14"/>
                    <w:szCs w:val="20"/>
                  </w:rPr>
                  <w:t xml:space="preserve">Nombre de la Partida </w:t>
                </w:r>
              </w:p>
            </w:tc>
            <w:tc>
              <w:tcPr>
                <w:tcW w:w="0" w:type="auto"/>
                <w:tcBorders>
                  <w:top w:val="single" w:sz="8" w:space="0" w:color="4BACC6" w:themeColor="accent5"/>
                  <w:left w:val="single" w:sz="6" w:space="0" w:color="4BACC6" w:themeColor="accent5"/>
                  <w:bottom w:val="single" w:sz="6" w:space="0" w:color="4BACC6" w:themeColor="accent5"/>
                  <w:right w:val="single" w:sz="6" w:space="0" w:color="4BACC6" w:themeColor="accent5"/>
                </w:tcBorders>
                <w:hideMark/>
              </w:tcPr>
              <w:p w14:paraId="1761997D"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20"/>
                  </w:rPr>
                </w:pPr>
                <w:r>
                  <w:rPr>
                    <w:rFonts w:ascii="Arial" w:hAnsi="Arial" w:cs="Arial"/>
                    <w:bCs w:val="0"/>
                    <w:sz w:val="14"/>
                    <w:szCs w:val="20"/>
                  </w:rPr>
                  <w:t>Porcentaje de ejecución</w:t>
                </w:r>
              </w:p>
            </w:tc>
            <w:tc>
              <w:tcPr>
                <w:tcW w:w="0" w:type="auto"/>
                <w:tcBorders>
                  <w:top w:val="single" w:sz="8" w:space="0" w:color="4BACC6" w:themeColor="accent5"/>
                  <w:left w:val="single" w:sz="6" w:space="0" w:color="4BACC6" w:themeColor="accent5"/>
                  <w:bottom w:val="single" w:sz="6" w:space="0" w:color="4BACC6" w:themeColor="accent5"/>
                  <w:right w:val="single" w:sz="6" w:space="0" w:color="4BACC6" w:themeColor="accent5"/>
                </w:tcBorders>
                <w:hideMark/>
              </w:tcPr>
              <w:p w14:paraId="164A2156"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20"/>
                  </w:rPr>
                </w:pPr>
                <w:r>
                  <w:rPr>
                    <w:rFonts w:ascii="Arial" w:hAnsi="Arial" w:cs="Arial"/>
                    <w:bCs w:val="0"/>
                    <w:sz w:val="14"/>
                    <w:szCs w:val="20"/>
                  </w:rPr>
                  <w:t>Factores que incidieron en la subejecución</w:t>
                </w:r>
              </w:p>
            </w:tc>
            <w:tc>
              <w:tcPr>
                <w:tcW w:w="0" w:type="auto"/>
                <w:tcBorders>
                  <w:top w:val="single" w:sz="8" w:space="0" w:color="4BACC6" w:themeColor="accent5"/>
                  <w:left w:val="single" w:sz="6" w:space="0" w:color="4BACC6" w:themeColor="accent5"/>
                  <w:bottom w:val="single" w:sz="6" w:space="0" w:color="4BACC6" w:themeColor="accent5"/>
                  <w:right w:val="single" w:sz="6" w:space="0" w:color="4BACC6" w:themeColor="accent5"/>
                </w:tcBorders>
                <w:hideMark/>
              </w:tcPr>
              <w:p w14:paraId="34ED9A50"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20"/>
                    <w:highlight w:val="yellow"/>
                  </w:rPr>
                </w:pPr>
                <w:r>
                  <w:rPr>
                    <w:rFonts w:ascii="Arial" w:hAnsi="Arial" w:cs="Arial"/>
                    <w:bCs w:val="0"/>
                    <w:sz w:val="14"/>
                    <w:szCs w:val="20"/>
                  </w:rPr>
                  <w:t xml:space="preserve">Indicar cómo el porcentaje de ejecución afectó la programación presupuestaria </w:t>
                </w:r>
                <w:r>
                  <w:rPr>
                    <w:rFonts w:ascii="Arial" w:hAnsi="Arial" w:cs="Arial"/>
                    <w:bCs w:val="0"/>
                    <w:sz w:val="14"/>
                    <w:szCs w:val="20"/>
                    <w:vertAlign w:val="superscript"/>
                  </w:rPr>
                  <w:t>1/</w:t>
                </w:r>
              </w:p>
            </w:tc>
            <w:tc>
              <w:tcPr>
                <w:tcW w:w="1741" w:type="dxa"/>
                <w:tcBorders>
                  <w:top w:val="single" w:sz="8" w:space="0" w:color="4BACC6" w:themeColor="accent5"/>
                  <w:left w:val="single" w:sz="6" w:space="0" w:color="4BACC6" w:themeColor="accent5"/>
                  <w:bottom w:val="single" w:sz="6" w:space="0" w:color="4BACC6" w:themeColor="accent5"/>
                  <w:right w:val="single" w:sz="6" w:space="0" w:color="4BACC6" w:themeColor="accent5"/>
                </w:tcBorders>
                <w:hideMark/>
              </w:tcPr>
              <w:p w14:paraId="1A45C023"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20"/>
                  </w:rPr>
                </w:pPr>
                <w:r>
                  <w:rPr>
                    <w:rFonts w:ascii="Arial" w:hAnsi="Arial" w:cs="Arial"/>
                    <w:bCs w:val="0"/>
                    <w:sz w:val="14"/>
                    <w:szCs w:val="20"/>
                  </w:rPr>
                  <w:t>Acciones correctivas para mejorar el resultado de ejecución</w:t>
                </w:r>
              </w:p>
            </w:tc>
            <w:tc>
              <w:tcPr>
                <w:tcW w:w="1545" w:type="dxa"/>
                <w:tcBorders>
                  <w:top w:val="single" w:sz="8" w:space="0" w:color="4BACC6" w:themeColor="accent5"/>
                  <w:left w:val="single" w:sz="6" w:space="0" w:color="4BACC6" w:themeColor="accent5"/>
                  <w:bottom w:val="single" w:sz="6" w:space="0" w:color="4BACC6" w:themeColor="accent5"/>
                  <w:right w:val="single" w:sz="6" w:space="0" w:color="4BACC6" w:themeColor="accent5"/>
                </w:tcBorders>
                <w:hideMark/>
              </w:tcPr>
              <w:p w14:paraId="00E8C6BA"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20"/>
                  </w:rPr>
                </w:pPr>
                <w:r>
                  <w:rPr>
                    <w:rFonts w:ascii="Arial" w:hAnsi="Arial" w:cs="Arial"/>
                    <w:sz w:val="14"/>
                    <w:szCs w:val="20"/>
                  </w:rPr>
                  <w:t xml:space="preserve">Plazo de implementación </w:t>
                </w:r>
                <w:r>
                  <w:rPr>
                    <w:rFonts w:ascii="Arial" w:hAnsi="Arial" w:cs="Arial"/>
                    <w:sz w:val="14"/>
                    <w:szCs w:val="20"/>
                    <w:vertAlign w:val="superscript"/>
                  </w:rPr>
                  <w:t>/2</w:t>
                </w:r>
              </w:p>
            </w:tc>
            <w:tc>
              <w:tcPr>
                <w:tcW w:w="1473" w:type="dxa"/>
                <w:tcBorders>
                  <w:top w:val="single" w:sz="8" w:space="0" w:color="4BACC6" w:themeColor="accent5"/>
                  <w:left w:val="single" w:sz="6" w:space="0" w:color="4BACC6" w:themeColor="accent5"/>
                  <w:bottom w:val="single" w:sz="6" w:space="0" w:color="4BACC6" w:themeColor="accent5"/>
                  <w:right w:val="single" w:sz="8" w:space="0" w:color="4BACC6" w:themeColor="accent5"/>
                </w:tcBorders>
                <w:hideMark/>
              </w:tcPr>
              <w:p w14:paraId="7D1C7009" w14:textId="77777777" w:rsidR="00384757" w:rsidRDefault="0038475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20"/>
                  </w:rPr>
                </w:pPr>
                <w:r>
                  <w:rPr>
                    <w:rFonts w:ascii="Arial" w:hAnsi="Arial" w:cs="Arial"/>
                    <w:bCs w:val="0"/>
                    <w:sz w:val="14"/>
                    <w:szCs w:val="20"/>
                  </w:rPr>
                  <w:t xml:space="preserve">Responsable </w:t>
                </w:r>
                <w:r>
                  <w:rPr>
                    <w:rFonts w:ascii="Arial" w:hAnsi="Arial" w:cs="Arial"/>
                    <w:bCs w:val="0"/>
                    <w:sz w:val="14"/>
                    <w:szCs w:val="20"/>
                    <w:vertAlign w:val="superscript"/>
                  </w:rPr>
                  <w:t>/3</w:t>
                </w:r>
              </w:p>
            </w:tc>
          </w:tr>
          <w:tr w:rsidR="001D6D28" w14:paraId="58C3DAB2" w14:textId="77777777" w:rsidTr="00845C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4BACC6" w:themeColor="accent5"/>
                </w:tcBorders>
                <w:hideMark/>
              </w:tcPr>
              <w:p w14:paraId="57FFE1BA" w14:textId="77777777" w:rsidR="00384757" w:rsidRDefault="00384757">
                <w:pPr>
                  <w:spacing w:after="120" w:line="360" w:lineRule="auto"/>
                  <w:rPr>
                    <w:rFonts w:ascii="Arial" w:hAnsi="Arial" w:cs="Arial"/>
                    <w:bCs w:val="0"/>
                    <w:sz w:val="18"/>
                    <w:szCs w:val="18"/>
                    <w:highlight w:val="yellow"/>
                  </w:rPr>
                </w:pPr>
                <w:r>
                  <w:rPr>
                    <w:rFonts w:ascii="Arial" w:hAnsi="Arial" w:cs="Arial"/>
                    <w:bCs w:val="0"/>
                    <w:sz w:val="18"/>
                    <w:szCs w:val="18"/>
                  </w:rPr>
                  <w:t>Remuneraciones</w:t>
                </w:r>
              </w:p>
            </w:tc>
            <w:tc>
              <w:tcPr>
                <w:tcW w:w="0" w:type="auto"/>
                <w:tcBorders>
                  <w:left w:val="single" w:sz="6" w:space="0" w:color="4BACC6" w:themeColor="accent5"/>
                  <w:right w:val="single" w:sz="6" w:space="0" w:color="4BACC6" w:themeColor="accent5"/>
                </w:tcBorders>
                <w:hideMark/>
              </w:tcPr>
              <w:p w14:paraId="0E838EC4" w14:textId="77777777" w:rsidR="00384757" w:rsidRDefault="0038475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83,8%</w:t>
                </w:r>
              </w:p>
            </w:tc>
            <w:tc>
              <w:tcPr>
                <w:tcW w:w="0" w:type="auto"/>
                <w:tcBorders>
                  <w:left w:val="single" w:sz="6" w:space="0" w:color="4BACC6" w:themeColor="accent5"/>
                  <w:right w:val="single" w:sz="6" w:space="0" w:color="4BACC6" w:themeColor="accent5"/>
                </w:tcBorders>
                <w:hideMark/>
              </w:tcPr>
              <w:p w14:paraId="6808A1C9" w14:textId="77777777" w:rsidR="00384757" w:rsidRDefault="0038475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El factor que directamente ha ocasionado que no se tenga mayor ejecución en esta partida, ha sido la imposibilidad de usar varias plazas vacantes.</w:t>
                </w:r>
              </w:p>
            </w:tc>
            <w:tc>
              <w:tcPr>
                <w:tcW w:w="0" w:type="auto"/>
                <w:tcBorders>
                  <w:left w:val="single" w:sz="6" w:space="0" w:color="4BACC6" w:themeColor="accent5"/>
                  <w:right w:val="single" w:sz="6" w:space="0" w:color="4BACC6" w:themeColor="accent5"/>
                </w:tcBorders>
              </w:tcPr>
              <w:p w14:paraId="2E3378C8" w14:textId="7D42936E" w:rsidR="00384757" w:rsidRDefault="00E15B57" w:rsidP="00E15B5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highlight w:val="yellow"/>
                  </w:rPr>
                </w:pPr>
                <w:r w:rsidRPr="00E15B57">
                  <w:rPr>
                    <w:rFonts w:ascii="Arial" w:hAnsi="Arial" w:cs="Arial"/>
                    <w:bCs/>
                    <w:sz w:val="18"/>
                    <w:szCs w:val="18"/>
                  </w:rPr>
                  <w:t xml:space="preserve">La falta de personal que cubra las vacantes, limita las posibilidades de mayor seguimiento en las direcciones regionales. </w:t>
                </w:r>
              </w:p>
            </w:tc>
            <w:tc>
              <w:tcPr>
                <w:tcW w:w="1741" w:type="dxa"/>
                <w:tcBorders>
                  <w:left w:val="single" w:sz="6" w:space="0" w:color="4BACC6" w:themeColor="accent5"/>
                  <w:right w:val="single" w:sz="6" w:space="0" w:color="4BACC6" w:themeColor="accent5"/>
                </w:tcBorders>
                <w:hideMark/>
              </w:tcPr>
              <w:p w14:paraId="07AD658E" w14:textId="77777777" w:rsidR="00384757" w:rsidRDefault="00384757">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Seguir con los trámites para poder utilizar la mayoría de los puestos vacantes a la fecha.</w:t>
                </w:r>
              </w:p>
            </w:tc>
            <w:tc>
              <w:tcPr>
                <w:tcW w:w="1545" w:type="dxa"/>
                <w:tcBorders>
                  <w:left w:val="single" w:sz="6" w:space="0" w:color="4BACC6" w:themeColor="accent5"/>
                  <w:right w:val="single" w:sz="6" w:space="0" w:color="4BACC6" w:themeColor="accent5"/>
                </w:tcBorders>
                <w:hideMark/>
              </w:tcPr>
              <w:p w14:paraId="221DA459" w14:textId="77777777" w:rsidR="00384757"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30/06/</w:t>
                </w:r>
                <w:r w:rsidR="00384757">
                  <w:rPr>
                    <w:rFonts w:ascii="Arial" w:hAnsi="Arial" w:cs="Arial"/>
                    <w:bCs/>
                    <w:sz w:val="20"/>
                    <w:szCs w:val="20"/>
                  </w:rPr>
                  <w:t>2019</w:t>
                </w:r>
              </w:p>
            </w:tc>
            <w:tc>
              <w:tcPr>
                <w:tcW w:w="1473" w:type="dxa"/>
                <w:tcBorders>
                  <w:left w:val="single" w:sz="6" w:space="0" w:color="4BACC6" w:themeColor="accent5"/>
                </w:tcBorders>
                <w:hideMark/>
              </w:tcPr>
              <w:p w14:paraId="6636A0CE" w14:textId="77777777" w:rsidR="00A008F2" w:rsidRDefault="00384757"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David Solano</w:t>
                </w:r>
                <w:r w:rsidR="00A008F2">
                  <w:rPr>
                    <w:rFonts w:ascii="Arial" w:hAnsi="Arial" w:cs="Arial"/>
                    <w:bCs/>
                    <w:sz w:val="20"/>
                    <w:szCs w:val="20"/>
                  </w:rPr>
                  <w:t>, jefe de Gestión de Recursos Humanos</w:t>
                </w:r>
              </w:p>
            </w:tc>
          </w:tr>
          <w:tr w:rsidR="001D6D28" w14:paraId="4B40F34F" w14:textId="77777777" w:rsidTr="00845C2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4BACC6" w:themeColor="accent5"/>
                  <w:left w:val="single" w:sz="8" w:space="0" w:color="4BACC6" w:themeColor="accent5"/>
                  <w:bottom w:val="single" w:sz="6" w:space="0" w:color="4BACC6" w:themeColor="accent5"/>
                  <w:right w:val="single" w:sz="6" w:space="0" w:color="4BACC6" w:themeColor="accent5"/>
                </w:tcBorders>
                <w:hideMark/>
              </w:tcPr>
              <w:p w14:paraId="6CA9D306" w14:textId="77777777" w:rsidR="00A008F2" w:rsidRDefault="00A008F2" w:rsidP="00A008F2">
                <w:pPr>
                  <w:rPr>
                    <w:rFonts w:ascii="Arial" w:hAnsi="Arial" w:cs="Arial"/>
                    <w:bCs w:val="0"/>
                    <w:sz w:val="18"/>
                    <w:szCs w:val="18"/>
                    <w:highlight w:val="yellow"/>
                  </w:rPr>
                </w:pPr>
                <w:r>
                  <w:rPr>
                    <w:rFonts w:ascii="Calibri" w:hAnsi="Calibri"/>
                    <w:color w:val="000000"/>
                    <w:sz w:val="18"/>
                    <w:szCs w:val="18"/>
                  </w:rPr>
                  <w:t>Servicios</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4A1190C1"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81,6%</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1EEB1475" w14:textId="77777777" w:rsidR="00A008F2" w:rsidRDefault="007E67CB"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Se dieron factores como atrasos en la presentación de facturas de </w:t>
                </w:r>
                <w:r>
                  <w:rPr>
                    <w:rFonts w:ascii="Arial" w:hAnsi="Arial" w:cs="Arial"/>
                    <w:bCs/>
                    <w:sz w:val="18"/>
                    <w:szCs w:val="18"/>
                  </w:rPr>
                  <w:lastRenderedPageBreak/>
                  <w:t>cobros, adjudicación tardía de varios contratos, proyecciones realizadas mayores a lo ejecutado realmente, entre otras.</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shd w:val="clear" w:color="auto" w:fill="auto"/>
              </w:tcPr>
              <w:p w14:paraId="3B7C85E6" w14:textId="017AE886" w:rsidR="00A008F2" w:rsidRPr="001D6D28" w:rsidRDefault="00E15B57"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1D6D28">
                  <w:rPr>
                    <w:rFonts w:ascii="Arial" w:hAnsi="Arial" w:cs="Arial"/>
                    <w:bCs/>
                    <w:sz w:val="18"/>
                    <w:szCs w:val="18"/>
                  </w:rPr>
                  <w:lastRenderedPageBreak/>
                  <w:t xml:space="preserve">La adjudicación tardía de contratos impide el uso pleno de servicios que </w:t>
                </w:r>
                <w:r w:rsidRPr="001D6D28">
                  <w:rPr>
                    <w:rFonts w:ascii="Arial" w:hAnsi="Arial" w:cs="Arial"/>
                    <w:bCs/>
                    <w:sz w:val="18"/>
                    <w:szCs w:val="18"/>
                  </w:rPr>
                  <w:lastRenderedPageBreak/>
                  <w:t>apoyan la gestión institucional y por tanto el cumplimiento de metas.</w:t>
                </w:r>
              </w:p>
            </w:tc>
            <w:tc>
              <w:tcPr>
                <w:tcW w:w="1741"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3329A7A4"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lastRenderedPageBreak/>
                  <w:t xml:space="preserve">Realizar estimaciones más apegadas a la realidad institucional, </w:t>
                </w:r>
                <w:r>
                  <w:rPr>
                    <w:rFonts w:ascii="Arial" w:hAnsi="Arial" w:cs="Arial"/>
                    <w:bCs/>
                    <w:sz w:val="18"/>
                    <w:szCs w:val="18"/>
                  </w:rPr>
                  <w:lastRenderedPageBreak/>
                  <w:t>además de mayor seguimiento a las gestiones en cada partida presupuestaria, que permitan tomar decisiones para trasladar recursos y tener una mejor ejecución.</w:t>
                </w:r>
              </w:p>
            </w:tc>
            <w:tc>
              <w:tcPr>
                <w:tcW w:w="1545"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6011054F"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30/06/2019</w:t>
                </w:r>
              </w:p>
            </w:tc>
            <w:tc>
              <w:tcPr>
                <w:tcW w:w="147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hideMark/>
              </w:tcPr>
              <w:p w14:paraId="08059386"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Adrian Arias, jefe Financiero Contable</w:t>
                </w:r>
              </w:p>
              <w:p w14:paraId="58F93DC4"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lastRenderedPageBreak/>
                  <w:t>Edgar Vargas, jefe Servicios Generales</w:t>
                </w:r>
              </w:p>
              <w:p w14:paraId="6CC369FB"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Andrea Gallegos, jefa Bienes y Suministros</w:t>
                </w:r>
              </w:p>
              <w:p w14:paraId="1FC5C3F6"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Antonio Cordero, jefe Informática</w:t>
                </w:r>
              </w:p>
              <w:p w14:paraId="00FB7EED"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Gerardo Jimenez, jefe Información y Comunicación</w:t>
                </w:r>
              </w:p>
            </w:tc>
          </w:tr>
          <w:tr w:rsidR="001D6D28" w14:paraId="105E04CF" w14:textId="77777777" w:rsidTr="00845C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4BACC6" w:themeColor="accent5"/>
                </w:tcBorders>
                <w:hideMark/>
              </w:tcPr>
              <w:p w14:paraId="15C2F3CC" w14:textId="77777777" w:rsidR="00A008F2" w:rsidRDefault="00A008F2" w:rsidP="00A008F2">
                <w:pPr>
                  <w:spacing w:after="120" w:line="360" w:lineRule="auto"/>
                  <w:jc w:val="both"/>
                  <w:rPr>
                    <w:rFonts w:ascii="Arial" w:hAnsi="Arial" w:cs="Arial"/>
                    <w:bCs w:val="0"/>
                    <w:sz w:val="18"/>
                    <w:szCs w:val="18"/>
                    <w:highlight w:val="yellow"/>
                  </w:rPr>
                </w:pPr>
                <w:r>
                  <w:rPr>
                    <w:rFonts w:ascii="Arial" w:hAnsi="Arial" w:cs="Arial"/>
                    <w:bCs w:val="0"/>
                    <w:sz w:val="18"/>
                    <w:szCs w:val="18"/>
                  </w:rPr>
                  <w:lastRenderedPageBreak/>
                  <w:t>Materiales</w:t>
                </w:r>
              </w:p>
            </w:tc>
            <w:tc>
              <w:tcPr>
                <w:tcW w:w="0" w:type="auto"/>
                <w:tcBorders>
                  <w:left w:val="single" w:sz="6" w:space="0" w:color="4BACC6" w:themeColor="accent5"/>
                  <w:right w:val="single" w:sz="6" w:space="0" w:color="4BACC6" w:themeColor="accent5"/>
                </w:tcBorders>
                <w:hideMark/>
              </w:tcPr>
              <w:p w14:paraId="730F8CBB"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68,8%</w:t>
                </w:r>
              </w:p>
            </w:tc>
            <w:tc>
              <w:tcPr>
                <w:tcW w:w="0" w:type="auto"/>
                <w:tcBorders>
                  <w:left w:val="single" w:sz="6" w:space="0" w:color="4BACC6" w:themeColor="accent5"/>
                  <w:right w:val="single" w:sz="6" w:space="0" w:color="4BACC6" w:themeColor="accent5"/>
                </w:tcBorders>
                <w:hideMark/>
              </w:tcPr>
              <w:p w14:paraId="3696E7E8" w14:textId="77777777" w:rsidR="00A008F2" w:rsidRDefault="007E67CB"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El mayor factor, se da por lo remantes de las contrataciones efectuadas durante el periodo, asi como un bajo consumo de combustibles debido a la centralización del trabajo tanto en oficinas centrales como en las diferentes oficinas regionales. </w:t>
                </w:r>
              </w:p>
            </w:tc>
            <w:tc>
              <w:tcPr>
                <w:tcW w:w="0" w:type="auto"/>
                <w:tcBorders>
                  <w:left w:val="single" w:sz="6" w:space="0" w:color="4BACC6" w:themeColor="accent5"/>
                  <w:right w:val="single" w:sz="6" w:space="0" w:color="4BACC6" w:themeColor="accent5"/>
                </w:tcBorders>
              </w:tcPr>
              <w:p w14:paraId="564B806D" w14:textId="478CCC88" w:rsidR="00A008F2" w:rsidRPr="001D6D28" w:rsidRDefault="001D6D28" w:rsidP="001D6D28">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1D6D28">
                  <w:rPr>
                    <w:rFonts w:ascii="Arial" w:hAnsi="Arial" w:cs="Arial"/>
                    <w:bCs/>
                    <w:sz w:val="18"/>
                    <w:szCs w:val="18"/>
                  </w:rPr>
                  <w:t xml:space="preserve">Pese a la programación de tareas en las sedes regionales, situaciones como falta de personal inciden en una mayor y mejor utilización de recursos, así como la imposibilidad de adquirir una flotilla mayor de vehículos, producto de restricciones presupuestarias, ha limitado la atención más oportuna de los </w:t>
                </w:r>
                <w:r w:rsidRPr="001D6D28">
                  <w:rPr>
                    <w:rFonts w:ascii="Arial" w:hAnsi="Arial" w:cs="Arial"/>
                    <w:bCs/>
                    <w:sz w:val="18"/>
                    <w:szCs w:val="18"/>
                  </w:rPr>
                  <w:lastRenderedPageBreak/>
                  <w:t>proyectos, lo que afecta el cumplimiento de metas.</w:t>
                </w:r>
              </w:p>
            </w:tc>
            <w:tc>
              <w:tcPr>
                <w:tcW w:w="1741" w:type="dxa"/>
                <w:tcBorders>
                  <w:left w:val="single" w:sz="6" w:space="0" w:color="4BACC6" w:themeColor="accent5"/>
                  <w:right w:val="single" w:sz="6" w:space="0" w:color="4BACC6" w:themeColor="accent5"/>
                </w:tcBorders>
                <w:hideMark/>
              </w:tcPr>
              <w:p w14:paraId="298ACAF0"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lastRenderedPageBreak/>
                  <w:t xml:space="preserve">Dado el grado normal de complejidad propio del proceso de contratación administrativa, es lógico que se presenten inconvenientes en el transcurso del proceso. Sobre este punto se requiere una constante acción de monitoreo a fin de adaptarse a cualquier tipo de situación nueva que pueda presentarse, para lo cual en el Departamento de </w:t>
                </w:r>
                <w:r>
                  <w:rPr>
                    <w:rFonts w:ascii="Arial" w:hAnsi="Arial" w:cs="Arial"/>
                    <w:bCs/>
                    <w:sz w:val="18"/>
                    <w:szCs w:val="18"/>
                  </w:rPr>
                  <w:lastRenderedPageBreak/>
                  <w:t>Bienes y Suministros se maneja un expediente por cada solicitud de pedido generada, a la cual se le da un seguimiento individual ante la Proveeduría Institucional del Ministerio de Gobernación y Policía, quien es la instancia encargada de tramitar los procesos de contratación de Dinadeco.</w:t>
                </w:r>
              </w:p>
            </w:tc>
            <w:tc>
              <w:tcPr>
                <w:tcW w:w="1545" w:type="dxa"/>
                <w:tcBorders>
                  <w:left w:val="single" w:sz="6" w:space="0" w:color="4BACC6" w:themeColor="accent5"/>
                  <w:right w:val="single" w:sz="6" w:space="0" w:color="4BACC6" w:themeColor="accent5"/>
                </w:tcBorders>
                <w:hideMark/>
              </w:tcPr>
              <w:p w14:paraId="4C981DE5"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30/06/2019</w:t>
                </w:r>
              </w:p>
            </w:tc>
            <w:tc>
              <w:tcPr>
                <w:tcW w:w="1473" w:type="dxa"/>
                <w:tcBorders>
                  <w:left w:val="single" w:sz="6" w:space="0" w:color="4BACC6" w:themeColor="accent5"/>
                </w:tcBorders>
                <w:hideMark/>
              </w:tcPr>
              <w:p w14:paraId="02BFC9B0"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Adrian Arias, jefe Financiero Contable</w:t>
                </w:r>
              </w:p>
              <w:p w14:paraId="12A92335"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Edgar Vargas, jefe Servicios Generales</w:t>
                </w:r>
              </w:p>
              <w:p w14:paraId="7DB8598E"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Andrea Gallegos, jefa Bienes y Suministros</w:t>
                </w:r>
              </w:p>
              <w:p w14:paraId="2450A15C"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Antonio Cordero, jefe Informática</w:t>
                </w:r>
              </w:p>
              <w:p w14:paraId="444B1B2A"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Gerardo Jimenez, jefe Información y Comunicación</w:t>
                </w:r>
              </w:p>
            </w:tc>
          </w:tr>
          <w:tr w:rsidR="001D6D28" w14:paraId="0E95D359" w14:textId="77777777" w:rsidTr="00845C2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4BACC6" w:themeColor="accent5"/>
                  <w:left w:val="single" w:sz="8" w:space="0" w:color="4BACC6" w:themeColor="accent5"/>
                  <w:bottom w:val="single" w:sz="6" w:space="0" w:color="4BACC6" w:themeColor="accent5"/>
                  <w:right w:val="single" w:sz="6" w:space="0" w:color="4BACC6" w:themeColor="accent5"/>
                </w:tcBorders>
                <w:hideMark/>
              </w:tcPr>
              <w:p w14:paraId="01EB37EB" w14:textId="77777777" w:rsidR="00A008F2" w:rsidRDefault="00A008F2" w:rsidP="00A008F2">
                <w:pPr>
                  <w:spacing w:after="120" w:line="360" w:lineRule="auto"/>
                  <w:jc w:val="both"/>
                  <w:rPr>
                    <w:rFonts w:ascii="Arial" w:hAnsi="Arial" w:cs="Arial"/>
                    <w:bCs w:val="0"/>
                    <w:sz w:val="20"/>
                    <w:szCs w:val="20"/>
                    <w:highlight w:val="yellow"/>
                  </w:rPr>
                </w:pPr>
                <w:r>
                  <w:rPr>
                    <w:rFonts w:ascii="Arial" w:hAnsi="Arial" w:cs="Arial"/>
                    <w:bCs w:val="0"/>
                    <w:sz w:val="20"/>
                    <w:szCs w:val="20"/>
                  </w:rPr>
                  <w:lastRenderedPageBreak/>
                  <w:t>Bienes Duraderos</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37CCE71F"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86,1%</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4ACB654F" w14:textId="77777777" w:rsidR="00A008F2" w:rsidRDefault="007E67CB"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Se </w:t>
                </w:r>
                <w:r w:rsidR="00330209">
                  <w:rPr>
                    <w:rFonts w:ascii="Arial" w:hAnsi="Arial" w:cs="Arial"/>
                    <w:bCs/>
                    <w:sz w:val="18"/>
                    <w:szCs w:val="18"/>
                  </w:rPr>
                  <w:t>da básicamente</w:t>
                </w:r>
                <w:r>
                  <w:rPr>
                    <w:rFonts w:ascii="Arial" w:hAnsi="Arial" w:cs="Arial"/>
                    <w:bCs/>
                    <w:sz w:val="18"/>
                    <w:szCs w:val="18"/>
                  </w:rPr>
                  <w:t xml:space="preserve"> por un factor del tipo de cambia proyectado para el pago</w:t>
                </w:r>
                <w:r w:rsidR="00330209">
                  <w:rPr>
                    <w:rFonts w:ascii="Arial" w:hAnsi="Arial" w:cs="Arial"/>
                    <w:bCs/>
                    <w:sz w:val="18"/>
                    <w:szCs w:val="18"/>
                  </w:rPr>
                  <w:t xml:space="preserve"> del contrato en la sub partida 5.01.05</w:t>
                </w:r>
              </w:p>
            </w:tc>
            <w:tc>
              <w:tcPr>
                <w:tcW w:w="0" w:type="auto"/>
                <w:tcBorders>
                  <w:top w:val="single" w:sz="6" w:space="0" w:color="4BACC6" w:themeColor="accent5"/>
                  <w:left w:val="single" w:sz="6" w:space="0" w:color="4BACC6" w:themeColor="accent5"/>
                  <w:bottom w:val="single" w:sz="6" w:space="0" w:color="4BACC6" w:themeColor="accent5"/>
                  <w:right w:val="single" w:sz="6" w:space="0" w:color="4BACC6" w:themeColor="accent5"/>
                </w:tcBorders>
              </w:tcPr>
              <w:p w14:paraId="77FA5865" w14:textId="22A3B880" w:rsidR="00A008F2" w:rsidRPr="00845C2E" w:rsidRDefault="00845C2E"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845C2E">
                  <w:rPr>
                    <w:rFonts w:ascii="Arial" w:hAnsi="Arial" w:cs="Arial"/>
                    <w:bCs/>
                    <w:sz w:val="18"/>
                    <w:szCs w:val="18"/>
                  </w:rPr>
                  <w:t>El hecho respondió a una situación interna que no se relaciona con el cumplimiento de las metas</w:t>
                </w:r>
              </w:p>
            </w:tc>
            <w:tc>
              <w:tcPr>
                <w:tcW w:w="1741"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5A1E0C95"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El accionar es el adecuado. </w:t>
                </w:r>
              </w:p>
            </w:tc>
            <w:tc>
              <w:tcPr>
                <w:tcW w:w="1545" w:type="dxa"/>
                <w:tcBorders>
                  <w:top w:val="single" w:sz="6" w:space="0" w:color="4BACC6" w:themeColor="accent5"/>
                  <w:left w:val="single" w:sz="6" w:space="0" w:color="4BACC6" w:themeColor="accent5"/>
                  <w:bottom w:val="single" w:sz="6" w:space="0" w:color="4BACC6" w:themeColor="accent5"/>
                  <w:right w:val="single" w:sz="6" w:space="0" w:color="4BACC6" w:themeColor="accent5"/>
                </w:tcBorders>
                <w:hideMark/>
              </w:tcPr>
              <w:p w14:paraId="4DD58D90" w14:textId="77777777" w:rsidR="00A008F2" w:rsidRDefault="00A008F2"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30/06/2019</w:t>
                </w:r>
              </w:p>
            </w:tc>
            <w:tc>
              <w:tcPr>
                <w:tcW w:w="1473" w:type="dxa"/>
                <w:tcBorders>
                  <w:top w:val="single" w:sz="6" w:space="0" w:color="4BACC6" w:themeColor="accent5"/>
                  <w:left w:val="single" w:sz="6" w:space="0" w:color="4BACC6" w:themeColor="accent5"/>
                  <w:bottom w:val="single" w:sz="6" w:space="0" w:color="4BACC6" w:themeColor="accent5"/>
                  <w:right w:val="single" w:sz="8" w:space="0" w:color="4BACC6" w:themeColor="accent5"/>
                </w:tcBorders>
                <w:hideMark/>
              </w:tcPr>
              <w:p w14:paraId="14A4BA90" w14:textId="77777777" w:rsidR="00A008F2" w:rsidRDefault="00A764FD" w:rsidP="00A008F2">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Antonio Cordero, jefe Informática</w:t>
                </w:r>
              </w:p>
            </w:tc>
          </w:tr>
          <w:tr w:rsidR="001D6D28" w14:paraId="2084762A" w14:textId="77777777" w:rsidTr="00845C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right w:val="single" w:sz="6" w:space="0" w:color="4BACC6" w:themeColor="accent5"/>
                </w:tcBorders>
                <w:hideMark/>
              </w:tcPr>
              <w:p w14:paraId="24D9B72E" w14:textId="77777777" w:rsidR="00A008F2" w:rsidRDefault="00A008F2" w:rsidP="00A008F2">
                <w:pPr>
                  <w:spacing w:after="120" w:line="360" w:lineRule="auto"/>
                  <w:jc w:val="both"/>
                  <w:rPr>
                    <w:rFonts w:ascii="Arial" w:hAnsi="Arial" w:cs="Arial"/>
                    <w:bCs w:val="0"/>
                    <w:sz w:val="20"/>
                    <w:szCs w:val="20"/>
                    <w:highlight w:val="yellow"/>
                  </w:rPr>
                </w:pPr>
                <w:r>
                  <w:rPr>
                    <w:rFonts w:ascii="Arial" w:hAnsi="Arial" w:cs="Arial"/>
                    <w:bCs w:val="0"/>
                    <w:sz w:val="20"/>
                    <w:szCs w:val="20"/>
                  </w:rPr>
                  <w:t>Transferencias Corrientes</w:t>
                </w:r>
              </w:p>
            </w:tc>
            <w:tc>
              <w:tcPr>
                <w:tcW w:w="0" w:type="auto"/>
                <w:tcBorders>
                  <w:left w:val="single" w:sz="6" w:space="0" w:color="4BACC6" w:themeColor="accent5"/>
                  <w:right w:val="single" w:sz="6" w:space="0" w:color="4BACC6" w:themeColor="accent5"/>
                </w:tcBorders>
                <w:hideMark/>
              </w:tcPr>
              <w:p w14:paraId="4F551BE1"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88,3%</w:t>
                </w:r>
              </w:p>
            </w:tc>
            <w:tc>
              <w:tcPr>
                <w:tcW w:w="0" w:type="auto"/>
                <w:tcBorders>
                  <w:left w:val="single" w:sz="6" w:space="0" w:color="4BACC6" w:themeColor="accent5"/>
                  <w:right w:val="single" w:sz="6" w:space="0" w:color="4BACC6" w:themeColor="accent5"/>
                </w:tcBorders>
                <w:hideMark/>
              </w:tcPr>
              <w:p w14:paraId="0F1B5B1C" w14:textId="77777777" w:rsidR="00A008F2" w:rsidRDefault="00330209"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El factor que influyó se debe a la liberación únicamente del 90% de los recursos incluidos en el </w:t>
                </w:r>
                <w:r>
                  <w:rPr>
                    <w:rFonts w:ascii="Arial" w:hAnsi="Arial" w:cs="Arial"/>
                    <w:bCs/>
                    <w:sz w:val="18"/>
                    <w:szCs w:val="18"/>
                  </w:rPr>
                  <w:lastRenderedPageBreak/>
                  <w:t>presupuesto para las Organizaciones Comunales por parte de Tesoreria Nacional. Aunado además al incumplimiento de requisitos por parte de estas Organizaciones para recibir dichos recursos.</w:t>
                </w:r>
              </w:p>
            </w:tc>
            <w:tc>
              <w:tcPr>
                <w:tcW w:w="0" w:type="auto"/>
                <w:tcBorders>
                  <w:left w:val="single" w:sz="6" w:space="0" w:color="4BACC6" w:themeColor="accent5"/>
                  <w:right w:val="single" w:sz="6" w:space="0" w:color="4BACC6" w:themeColor="accent5"/>
                </w:tcBorders>
              </w:tcPr>
              <w:p w14:paraId="278308E1" w14:textId="458EEE18" w:rsidR="00A008F2" w:rsidRPr="00845C2E" w:rsidRDefault="00845C2E" w:rsidP="00845C2E">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845C2E">
                  <w:rPr>
                    <w:rFonts w:ascii="Arial" w:hAnsi="Arial" w:cs="Arial"/>
                    <w:bCs/>
                    <w:sz w:val="18"/>
                    <w:szCs w:val="18"/>
                  </w:rPr>
                  <w:lastRenderedPageBreak/>
                  <w:t xml:space="preserve">El que la Tesorería Nacional no gire todos los recursos, limita la aprobación de nuevos </w:t>
                </w:r>
                <w:r w:rsidRPr="00845C2E">
                  <w:rPr>
                    <w:rFonts w:ascii="Arial" w:hAnsi="Arial" w:cs="Arial"/>
                    <w:bCs/>
                    <w:sz w:val="18"/>
                    <w:szCs w:val="18"/>
                  </w:rPr>
                  <w:lastRenderedPageBreak/>
                  <w:t xml:space="preserve">proyectos, lo que afecta las metas futuras de proyectos ejecutados.  </w:t>
                </w:r>
              </w:p>
            </w:tc>
            <w:tc>
              <w:tcPr>
                <w:tcW w:w="1741" w:type="dxa"/>
                <w:tcBorders>
                  <w:left w:val="single" w:sz="6" w:space="0" w:color="4BACC6" w:themeColor="accent5"/>
                  <w:right w:val="single" w:sz="6" w:space="0" w:color="4BACC6" w:themeColor="accent5"/>
                </w:tcBorders>
                <w:hideMark/>
              </w:tcPr>
              <w:p w14:paraId="68F8730E"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lastRenderedPageBreak/>
                  <w:t xml:space="preserve">La gestión interna para la asignación y distribución de los recursos a las Organizaciones Comunales ha sido efectiva por parte </w:t>
                </w:r>
                <w:r>
                  <w:rPr>
                    <w:rFonts w:ascii="Arial" w:hAnsi="Arial" w:cs="Arial"/>
                    <w:bCs/>
                    <w:sz w:val="18"/>
                    <w:szCs w:val="18"/>
                  </w:rPr>
                  <w:lastRenderedPageBreak/>
                  <w:t>de DINADECO, sin embargo como en este año, se depende de la decisión de Tesorería Nacional para la liberación de los recursos.</w:t>
                </w:r>
              </w:p>
            </w:tc>
            <w:tc>
              <w:tcPr>
                <w:tcW w:w="1545" w:type="dxa"/>
                <w:tcBorders>
                  <w:left w:val="single" w:sz="6" w:space="0" w:color="4BACC6" w:themeColor="accent5"/>
                  <w:right w:val="single" w:sz="6" w:space="0" w:color="4BACC6" w:themeColor="accent5"/>
                </w:tcBorders>
                <w:hideMark/>
              </w:tcPr>
              <w:p w14:paraId="1E62DFB1" w14:textId="77777777" w:rsidR="00A008F2" w:rsidRDefault="00A008F2" w:rsidP="00A008F2">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lastRenderedPageBreak/>
                  <w:t>30/06/2019</w:t>
                </w:r>
              </w:p>
            </w:tc>
            <w:tc>
              <w:tcPr>
                <w:tcW w:w="1473" w:type="dxa"/>
                <w:tcBorders>
                  <w:left w:val="single" w:sz="6" w:space="0" w:color="4BACC6" w:themeColor="accent5"/>
                </w:tcBorders>
              </w:tcPr>
              <w:p w14:paraId="522C4997" w14:textId="77777777" w:rsidR="00A008F2" w:rsidRDefault="00A764FD" w:rsidP="00A008F2">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 </w:t>
                </w:r>
                <w:r w:rsidR="00A008F2">
                  <w:rPr>
                    <w:rFonts w:ascii="Arial" w:hAnsi="Arial" w:cs="Arial"/>
                    <w:bCs/>
                    <w:sz w:val="18"/>
                    <w:szCs w:val="18"/>
                  </w:rPr>
                  <w:t>David Solano</w:t>
                </w:r>
                <w:r>
                  <w:rPr>
                    <w:rFonts w:ascii="Arial" w:hAnsi="Arial" w:cs="Arial"/>
                    <w:bCs/>
                    <w:sz w:val="18"/>
                    <w:szCs w:val="18"/>
                  </w:rPr>
                  <w:t xml:space="preserve">, </w:t>
                </w:r>
                <w:r>
                  <w:rPr>
                    <w:rFonts w:ascii="Arial" w:hAnsi="Arial" w:cs="Arial"/>
                    <w:bCs/>
                    <w:sz w:val="20"/>
                    <w:szCs w:val="20"/>
                  </w:rPr>
                  <w:t>jefe de Gestión de Recursos Humanos</w:t>
                </w:r>
              </w:p>
              <w:p w14:paraId="080FF9DB" w14:textId="77777777" w:rsidR="00A008F2" w:rsidRDefault="00A008F2" w:rsidP="00A008F2">
                <w:pP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67F0EB6C" w14:textId="77777777" w:rsidR="00A008F2" w:rsidRDefault="00A008F2" w:rsidP="00A764FD">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bCs/>
                    <w:sz w:val="18"/>
                    <w:szCs w:val="18"/>
                  </w:rPr>
                  <w:t>Consejo Nacional de Desarrollo</w:t>
                </w:r>
                <w:r w:rsidR="00A764FD">
                  <w:rPr>
                    <w:rFonts w:ascii="Arial" w:hAnsi="Arial" w:cs="Arial"/>
                    <w:bCs/>
                    <w:sz w:val="18"/>
                    <w:szCs w:val="18"/>
                  </w:rPr>
                  <w:t xml:space="preserve"> (CNDC): </w:t>
                </w:r>
                <w:r w:rsidR="00A764FD">
                  <w:rPr>
                    <w:rFonts w:ascii="Arial" w:hAnsi="Arial" w:cs="Arial"/>
                    <w:bCs/>
                    <w:sz w:val="18"/>
                    <w:szCs w:val="18"/>
                  </w:rPr>
                  <w:lastRenderedPageBreak/>
                  <w:t>Franklin Corella, Director Ejecutivo del CNDC</w:t>
                </w:r>
              </w:p>
            </w:tc>
          </w:tr>
          <w:tr w:rsidR="00845C2E" w14:paraId="34650B06" w14:textId="77777777" w:rsidTr="00845C2E">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4BACC6" w:themeColor="accent5"/>
                  <w:left w:val="single" w:sz="8" w:space="0" w:color="4BACC6" w:themeColor="accent5"/>
                  <w:bottom w:val="single" w:sz="8" w:space="0" w:color="4BACC6" w:themeColor="accent5"/>
                  <w:right w:val="single" w:sz="6" w:space="0" w:color="4BACC6" w:themeColor="accent5"/>
                </w:tcBorders>
                <w:hideMark/>
              </w:tcPr>
              <w:p w14:paraId="14B5DA44" w14:textId="77777777" w:rsidR="00845C2E" w:rsidRDefault="00845C2E" w:rsidP="00845C2E">
                <w:pPr>
                  <w:spacing w:after="120" w:line="360" w:lineRule="auto"/>
                  <w:jc w:val="both"/>
                  <w:rPr>
                    <w:rFonts w:ascii="Arial" w:hAnsi="Arial" w:cs="Arial"/>
                    <w:bCs w:val="0"/>
                    <w:sz w:val="20"/>
                    <w:szCs w:val="20"/>
                    <w:highlight w:val="yellow"/>
                  </w:rPr>
                </w:pPr>
                <w:r>
                  <w:rPr>
                    <w:rFonts w:ascii="Arial" w:hAnsi="Arial" w:cs="Arial"/>
                    <w:bCs w:val="0"/>
                    <w:sz w:val="20"/>
                    <w:szCs w:val="20"/>
                  </w:rPr>
                  <w:lastRenderedPageBreak/>
                  <w:t>Transferencias de Capital</w:t>
                </w:r>
              </w:p>
            </w:tc>
            <w:tc>
              <w:tcPr>
                <w:tcW w:w="0" w:type="auto"/>
                <w:tcBorders>
                  <w:top w:val="single" w:sz="6" w:space="0" w:color="4BACC6" w:themeColor="accent5"/>
                  <w:left w:val="single" w:sz="6" w:space="0" w:color="4BACC6" w:themeColor="accent5"/>
                  <w:bottom w:val="single" w:sz="8" w:space="0" w:color="4BACC6" w:themeColor="accent5"/>
                  <w:right w:val="single" w:sz="6" w:space="0" w:color="4BACC6" w:themeColor="accent5"/>
                </w:tcBorders>
                <w:hideMark/>
              </w:tcPr>
              <w:p w14:paraId="1F830E3D" w14:textId="77777777"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88,9%</w:t>
                </w:r>
              </w:p>
            </w:tc>
            <w:tc>
              <w:tcPr>
                <w:tcW w:w="0" w:type="auto"/>
                <w:tcBorders>
                  <w:top w:val="single" w:sz="6" w:space="0" w:color="4BACC6" w:themeColor="accent5"/>
                  <w:left w:val="single" w:sz="6" w:space="0" w:color="4BACC6" w:themeColor="accent5"/>
                  <w:bottom w:val="single" w:sz="8" w:space="0" w:color="4BACC6" w:themeColor="accent5"/>
                  <w:right w:val="single" w:sz="6" w:space="0" w:color="4BACC6" w:themeColor="accent5"/>
                </w:tcBorders>
                <w:hideMark/>
              </w:tcPr>
              <w:p w14:paraId="01C60218" w14:textId="77777777"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 xml:space="preserve">El factor que influyó se debe a la liberación únicamente del 90% de los recursos incluidos en el presupuesto para las Organizaciones Comunales por parte de Tesorería Nacional. Aunado además al incumplimiento de requisitos por parte de estas </w:t>
                </w:r>
                <w:r>
                  <w:rPr>
                    <w:rFonts w:ascii="Arial" w:hAnsi="Arial" w:cs="Arial"/>
                    <w:bCs/>
                    <w:sz w:val="18"/>
                    <w:szCs w:val="18"/>
                  </w:rPr>
                  <w:lastRenderedPageBreak/>
                  <w:t>Organizaciones para recibir dichos recursos.</w:t>
                </w:r>
              </w:p>
            </w:tc>
            <w:tc>
              <w:tcPr>
                <w:tcW w:w="0" w:type="auto"/>
                <w:tcBorders>
                  <w:top w:val="single" w:sz="6" w:space="0" w:color="4BACC6" w:themeColor="accent5"/>
                  <w:left w:val="single" w:sz="6" w:space="0" w:color="4BACC6" w:themeColor="accent5"/>
                  <w:bottom w:val="single" w:sz="8" w:space="0" w:color="4BACC6" w:themeColor="accent5"/>
                  <w:right w:val="single" w:sz="6" w:space="0" w:color="4BACC6" w:themeColor="accent5"/>
                </w:tcBorders>
              </w:tcPr>
              <w:p w14:paraId="244B1495" w14:textId="19EAC68D"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highlight w:val="yellow"/>
                  </w:rPr>
                </w:pPr>
                <w:r w:rsidRPr="00845C2E">
                  <w:rPr>
                    <w:rFonts w:ascii="Arial" w:hAnsi="Arial" w:cs="Arial"/>
                    <w:bCs/>
                    <w:sz w:val="18"/>
                    <w:szCs w:val="18"/>
                  </w:rPr>
                  <w:lastRenderedPageBreak/>
                  <w:t xml:space="preserve">El que la Tesorería Nacional no gire todos los recursos, limita la aprobación de nuevos proyectos, lo que afecta las metas futuras de proyectos ejecutados.  </w:t>
                </w:r>
                <w:r>
                  <w:rPr>
                    <w:rFonts w:ascii="Arial" w:hAnsi="Arial" w:cs="Arial"/>
                    <w:bCs/>
                    <w:sz w:val="18"/>
                    <w:szCs w:val="18"/>
                  </w:rPr>
                  <w:t xml:space="preserve">La afectación es la misma que para Transferencias Corrientes, ya que los proyectos obtienen recursos </w:t>
                </w:r>
                <w:r w:rsidR="00900EA9">
                  <w:rPr>
                    <w:rFonts w:ascii="Arial" w:hAnsi="Arial" w:cs="Arial"/>
                    <w:bCs/>
                    <w:sz w:val="18"/>
                    <w:szCs w:val="18"/>
                  </w:rPr>
                  <w:t xml:space="preserve">por </w:t>
                </w:r>
                <w:r w:rsidR="00900EA9">
                  <w:rPr>
                    <w:rFonts w:ascii="Arial" w:hAnsi="Arial" w:cs="Arial"/>
                    <w:bCs/>
                    <w:sz w:val="18"/>
                    <w:szCs w:val="18"/>
                  </w:rPr>
                  <w:lastRenderedPageBreak/>
                  <w:t>partes iguales de transferencias corrientes, como de capital.</w:t>
                </w:r>
              </w:p>
            </w:tc>
            <w:tc>
              <w:tcPr>
                <w:tcW w:w="1741" w:type="dxa"/>
                <w:tcBorders>
                  <w:top w:val="single" w:sz="6" w:space="0" w:color="4BACC6" w:themeColor="accent5"/>
                  <w:left w:val="single" w:sz="6" w:space="0" w:color="4BACC6" w:themeColor="accent5"/>
                  <w:bottom w:val="single" w:sz="8" w:space="0" w:color="4BACC6" w:themeColor="accent5"/>
                  <w:right w:val="single" w:sz="6" w:space="0" w:color="4BACC6" w:themeColor="accent5"/>
                </w:tcBorders>
              </w:tcPr>
              <w:p w14:paraId="6F616501" w14:textId="77777777" w:rsidR="00845C2E" w:rsidRDefault="00845C2E" w:rsidP="00845C2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lastRenderedPageBreak/>
                  <w:t>La gestión interna para la asignación y distribución de los recursos a las Organizaciones Comunales ha sido efectiva por parte de DINADECO, sin embargo, como en este año, se depende de la decisión de Tesorería Nacional para la liberación de los recursos.</w:t>
                </w:r>
              </w:p>
              <w:p w14:paraId="066CD625" w14:textId="77777777"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tc>
            <w:tc>
              <w:tcPr>
                <w:tcW w:w="1545" w:type="dxa"/>
                <w:tcBorders>
                  <w:top w:val="single" w:sz="6" w:space="0" w:color="4BACC6" w:themeColor="accent5"/>
                  <w:left w:val="single" w:sz="6" w:space="0" w:color="4BACC6" w:themeColor="accent5"/>
                  <w:bottom w:val="single" w:sz="8" w:space="0" w:color="4BACC6" w:themeColor="accent5"/>
                  <w:right w:val="single" w:sz="6" w:space="0" w:color="4BACC6" w:themeColor="accent5"/>
                </w:tcBorders>
                <w:hideMark/>
              </w:tcPr>
              <w:p w14:paraId="186009CF" w14:textId="77777777"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30/06/2019</w:t>
                </w:r>
              </w:p>
            </w:tc>
            <w:tc>
              <w:tcPr>
                <w:tcW w:w="1473" w:type="dxa"/>
                <w:tcBorders>
                  <w:top w:val="single" w:sz="6" w:space="0" w:color="4BACC6" w:themeColor="accent5"/>
                  <w:left w:val="single" w:sz="6" w:space="0" w:color="4BACC6" w:themeColor="accent5"/>
                  <w:bottom w:val="single" w:sz="8" w:space="0" w:color="4BACC6" w:themeColor="accent5"/>
                  <w:right w:val="single" w:sz="8" w:space="0" w:color="4BACC6" w:themeColor="accent5"/>
                </w:tcBorders>
              </w:tcPr>
              <w:p w14:paraId="3764FECD" w14:textId="77777777" w:rsidR="00845C2E" w:rsidRDefault="00845C2E" w:rsidP="00845C2E">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388FC595" w14:textId="77777777" w:rsidR="00845C2E" w:rsidRDefault="00845C2E" w:rsidP="00845C2E">
                <w:pP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p>
              <w:p w14:paraId="7E9BA710" w14:textId="77777777" w:rsidR="00845C2E" w:rsidRDefault="00845C2E" w:rsidP="00845C2E">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bCs/>
                    <w:sz w:val="18"/>
                    <w:szCs w:val="18"/>
                  </w:rPr>
                  <w:t>Consejo Nacional de Desarrollo (CNDC): Franklin Corella, Director Ejecutivo del CNDC</w:t>
                </w:r>
              </w:p>
            </w:tc>
          </w:tr>
        </w:tbl>
        <w:p w14:paraId="2364A28C" w14:textId="77777777" w:rsidR="00384757" w:rsidRDefault="00384757" w:rsidP="00384757">
          <w:pPr>
            <w:ind w:left="-709" w:right="-1083"/>
            <w:rPr>
              <w:rFonts w:ascii="Arial" w:hAnsi="Arial" w:cs="Arial"/>
              <w:sz w:val="14"/>
              <w:szCs w:val="14"/>
            </w:rPr>
          </w:pPr>
          <w:r>
            <w:rPr>
              <w:rFonts w:ascii="Arial" w:hAnsi="Arial" w:cs="Arial"/>
              <w:color w:val="000000"/>
              <w:sz w:val="14"/>
              <w:szCs w:val="14"/>
            </w:rPr>
            <w:lastRenderedPageBreak/>
            <w:t xml:space="preserve">1/ </w:t>
          </w:r>
          <w:r>
            <w:rPr>
              <w:rFonts w:ascii="Arial" w:hAnsi="Arial" w:cs="Arial"/>
              <w:sz w:val="14"/>
              <w:szCs w:val="14"/>
            </w:rPr>
            <w:t>Esta columna deben completarla únicamente las entidades que tienen en la Ley producción cuantificable (productos, indicadores, metas)</w:t>
          </w:r>
        </w:p>
        <w:p w14:paraId="66BCA5A1" w14:textId="77777777" w:rsidR="00384757" w:rsidRDefault="00384757" w:rsidP="00384757">
          <w:pPr>
            <w:ind w:left="-709" w:right="-1083"/>
            <w:rPr>
              <w:rFonts w:ascii="Arial" w:hAnsi="Arial" w:cs="Arial"/>
              <w:sz w:val="14"/>
              <w:szCs w:val="14"/>
            </w:rPr>
          </w:pPr>
          <w:r>
            <w:rPr>
              <w:rFonts w:ascii="Arial" w:hAnsi="Arial" w:cs="Arial"/>
              <w:sz w:val="14"/>
              <w:szCs w:val="14"/>
            </w:rPr>
            <w:t>2/ Indicar la fecha del 2019 en que iniciará la implementación de la acción correctiva, ejemplo: dd/mm/aaaa. En caso de no indicarlo, la DGPN establecerá el plazo correspondiente, para su fiscalización.</w:t>
          </w:r>
        </w:p>
        <w:p w14:paraId="6E2B0A58" w14:textId="77777777" w:rsidR="00384757" w:rsidRDefault="00384757" w:rsidP="00384757">
          <w:pPr>
            <w:ind w:left="-709" w:right="-1083"/>
            <w:rPr>
              <w:rFonts w:ascii="Arial" w:hAnsi="Arial" w:cs="Arial"/>
              <w:color w:val="000000"/>
              <w:sz w:val="14"/>
              <w:szCs w:val="14"/>
            </w:rPr>
          </w:pPr>
          <w:r>
            <w:rPr>
              <w:rFonts w:ascii="Arial" w:hAnsi="Arial" w:cs="Arial"/>
              <w:sz w:val="14"/>
              <w:szCs w:val="14"/>
            </w:rPr>
            <w:t xml:space="preserve">3/ </w:t>
          </w:r>
          <w:r>
            <w:rPr>
              <w:rFonts w:ascii="Arial" w:hAnsi="Arial" w:cs="Arial"/>
              <w:color w:val="000000"/>
              <w:sz w:val="14"/>
              <w:szCs w:val="14"/>
            </w:rPr>
            <w:t>Se refiere a la persona responsable directa de ejecutar la acción, no necesariamente debe ser el (la) Director (a) del Programa o Subprograma.</w:t>
          </w:r>
        </w:p>
        <w:p w14:paraId="0438D1A7" w14:textId="77777777" w:rsidR="00384757" w:rsidRDefault="00384757" w:rsidP="00384757">
          <w:pPr>
            <w:pStyle w:val="Ttulo"/>
            <w:rPr>
              <w:rFonts w:cs="Arial"/>
              <w:sz w:val="20"/>
              <w:szCs w:val="20"/>
              <w:lang w:val="es-ES"/>
            </w:rPr>
          </w:pPr>
        </w:p>
        <w:p w14:paraId="12CF9491" w14:textId="77777777" w:rsidR="00384757" w:rsidRDefault="00384757" w:rsidP="00384757">
          <w:pPr>
            <w:pStyle w:val="Ttulo"/>
            <w:rPr>
              <w:rFonts w:cs="Arial"/>
              <w:sz w:val="20"/>
              <w:szCs w:val="20"/>
              <w:lang w:val="es-ES"/>
            </w:rPr>
          </w:pPr>
        </w:p>
        <w:bookmarkEnd w:id="5"/>
        <w:bookmarkEnd w:id="6"/>
        <w:bookmarkEnd w:id="7"/>
        <w:p w14:paraId="212D20C6" w14:textId="77777777" w:rsidR="00162B98" w:rsidRDefault="00162B98">
          <w:pPr>
            <w:rPr>
              <w:rFonts w:ascii="Arial" w:hAnsi="Arial" w:cs="Arial"/>
              <w:b/>
              <w:bCs/>
              <w:sz w:val="22"/>
              <w:szCs w:val="22"/>
              <w:u w:val="single"/>
              <w:lang w:val="es-MX"/>
            </w:rPr>
          </w:pPr>
          <w:r>
            <w:rPr>
              <w:rFonts w:ascii="Arial" w:hAnsi="Arial" w:cs="Arial"/>
              <w:b/>
              <w:bCs/>
              <w:sz w:val="22"/>
              <w:szCs w:val="22"/>
              <w:u w:val="single"/>
              <w:lang w:val="es-MX"/>
            </w:rPr>
            <w:br w:type="page"/>
          </w:r>
        </w:p>
        <w:p w14:paraId="7B287AF3" w14:textId="25F77415" w:rsidR="00242891" w:rsidRDefault="00B2036E" w:rsidP="00242891">
          <w:pPr>
            <w:rPr>
              <w:rFonts w:ascii="Arial" w:hAnsi="Arial" w:cs="Arial"/>
              <w:b/>
              <w:bCs/>
              <w:sz w:val="22"/>
              <w:szCs w:val="22"/>
              <w:u w:val="single"/>
              <w:lang w:val="es-MX"/>
            </w:rPr>
          </w:pPr>
        </w:p>
      </w:sdtContent>
    </w:sdt>
    <w:p w14:paraId="5B01C2EC" w14:textId="77777777" w:rsidR="002121A7" w:rsidRPr="00500936" w:rsidRDefault="00D44788" w:rsidP="00D44788">
      <w:pPr>
        <w:pStyle w:val="TtuloTDC"/>
        <w:rPr>
          <w:rStyle w:val="Ttulodellibro"/>
          <w:rFonts w:cs="Arial"/>
          <w:b/>
          <w:color w:val="000000" w:themeColor="text1"/>
        </w:rPr>
      </w:pPr>
      <w:bookmarkStart w:id="10" w:name="_Toc530474646"/>
      <w:bookmarkStart w:id="11" w:name="_Toc531253884"/>
      <w:r>
        <w:rPr>
          <w:rStyle w:val="Ttulodellibro"/>
          <w:rFonts w:cs="Arial"/>
          <w:b/>
          <w:color w:val="000000" w:themeColor="text1"/>
        </w:rPr>
        <w:t xml:space="preserve">III </w:t>
      </w:r>
      <w:r w:rsidR="004D68B9" w:rsidRPr="00500936">
        <w:rPr>
          <w:rStyle w:val="Ttulodellibro"/>
          <w:rFonts w:cs="Arial"/>
          <w:b/>
          <w:color w:val="000000" w:themeColor="text1"/>
        </w:rPr>
        <w:t>APARTADO</w:t>
      </w:r>
      <w:r w:rsidR="00432E4B" w:rsidRPr="00500936">
        <w:rPr>
          <w:rStyle w:val="Ttulodellibro"/>
          <w:rFonts w:cs="Arial"/>
          <w:b/>
          <w:color w:val="000000" w:themeColor="text1"/>
        </w:rPr>
        <w:t xml:space="preserve"> PROGRAMÁTICO</w:t>
      </w:r>
      <w:bookmarkEnd w:id="10"/>
      <w:bookmarkEnd w:id="11"/>
      <w:r w:rsidR="004947FD" w:rsidRPr="00500936">
        <w:rPr>
          <w:rStyle w:val="Ttulodellibro"/>
          <w:rFonts w:cs="Arial"/>
          <w:b/>
          <w:color w:val="000000" w:themeColor="text1"/>
        </w:rPr>
        <w:t xml:space="preserve"> </w:t>
      </w:r>
    </w:p>
    <w:p w14:paraId="6D9FC14E" w14:textId="77777777" w:rsidR="002121A7" w:rsidRPr="00075112" w:rsidRDefault="002121A7" w:rsidP="00075112">
      <w:pPr>
        <w:pStyle w:val="Ttulo2"/>
        <w:numPr>
          <w:ilvl w:val="0"/>
          <w:numId w:val="0"/>
        </w:numPr>
        <w:ind w:left="720" w:hanging="360"/>
        <w:jc w:val="left"/>
        <w:rPr>
          <w:rFonts w:ascii="Arial" w:hAnsi="Arial" w:cs="Arial"/>
          <w:b w:val="0"/>
          <w:szCs w:val="20"/>
        </w:rPr>
      </w:pPr>
    </w:p>
    <w:p w14:paraId="24C7CAEB" w14:textId="77777777" w:rsidR="00A0647C" w:rsidRPr="00231BFF" w:rsidRDefault="00231BFF" w:rsidP="00BD5F61">
      <w:pPr>
        <w:spacing w:line="360" w:lineRule="auto"/>
        <w:jc w:val="both"/>
        <w:rPr>
          <w:rFonts w:ascii="Arial" w:hAnsi="Arial" w:cs="Arial"/>
          <w:lang w:val="es-MX"/>
        </w:rPr>
      </w:pPr>
      <w:r w:rsidRPr="00231BFF">
        <w:rPr>
          <w:rFonts w:ascii="Arial" w:hAnsi="Arial" w:cs="Arial"/>
          <w:b/>
          <w:color w:val="000000" w:themeColor="text1"/>
          <w:lang w:val="es-MX"/>
        </w:rPr>
        <w:t>049 Desarrollo de la Comunidad.</w:t>
      </w:r>
    </w:p>
    <w:p w14:paraId="1FC05D55" w14:textId="77777777" w:rsidR="004A3CFB" w:rsidRDefault="004A3CFB" w:rsidP="004A3CFB">
      <w:pPr>
        <w:spacing w:line="360" w:lineRule="auto"/>
        <w:jc w:val="both"/>
        <w:rPr>
          <w:rFonts w:ascii="Arial" w:hAnsi="Arial" w:cs="Arial"/>
          <w:sz w:val="20"/>
          <w:szCs w:val="20"/>
          <w:lang w:val="es-MX"/>
        </w:rPr>
      </w:pPr>
    </w:p>
    <w:p w14:paraId="31C9560E" w14:textId="77777777" w:rsidR="004A3CFB" w:rsidRPr="00003F02" w:rsidRDefault="004A3CFB" w:rsidP="004A3CFB">
      <w:pPr>
        <w:spacing w:line="360" w:lineRule="auto"/>
        <w:jc w:val="center"/>
        <w:rPr>
          <w:rFonts w:ascii="Arial" w:hAnsi="Arial" w:cs="Arial"/>
          <w:b/>
          <w:sz w:val="20"/>
          <w:szCs w:val="20"/>
          <w:lang w:val="es-MX"/>
        </w:rPr>
      </w:pPr>
      <w:r w:rsidRPr="00003F02">
        <w:rPr>
          <w:rFonts w:ascii="Arial" w:hAnsi="Arial" w:cs="Arial"/>
          <w:b/>
          <w:sz w:val="20"/>
          <w:szCs w:val="20"/>
          <w:lang w:val="es-MX"/>
        </w:rPr>
        <w:t>0</w:t>
      </w:r>
      <w:r>
        <w:rPr>
          <w:rFonts w:ascii="Arial" w:hAnsi="Arial" w:cs="Arial"/>
          <w:b/>
          <w:sz w:val="20"/>
          <w:szCs w:val="20"/>
          <w:lang w:val="es-MX"/>
        </w:rPr>
        <w:t>49</w:t>
      </w:r>
      <w:r w:rsidRPr="00003F02">
        <w:rPr>
          <w:rFonts w:ascii="Arial" w:hAnsi="Arial" w:cs="Arial"/>
          <w:b/>
          <w:sz w:val="20"/>
          <w:szCs w:val="20"/>
          <w:lang w:val="es-MX"/>
        </w:rPr>
        <w:t>: Programación Presupuestaria</w:t>
      </w:r>
      <w:r>
        <w:rPr>
          <w:rFonts w:ascii="Arial" w:hAnsi="Arial" w:cs="Arial"/>
          <w:b/>
          <w:sz w:val="20"/>
          <w:szCs w:val="20"/>
          <w:lang w:val="es-MX"/>
        </w:rPr>
        <w:t>, DINADECO,</w:t>
      </w:r>
    </w:p>
    <w:p w14:paraId="13F71834" w14:textId="77777777" w:rsidR="004A3CFB" w:rsidRPr="00841F3E" w:rsidRDefault="004A3CFB" w:rsidP="004A3CFB">
      <w:pPr>
        <w:spacing w:line="360" w:lineRule="auto"/>
        <w:jc w:val="center"/>
        <w:rPr>
          <w:rFonts w:ascii="Arial" w:hAnsi="Arial" w:cs="Arial"/>
          <w:sz w:val="20"/>
          <w:szCs w:val="20"/>
          <w:lang w:val="es-MX"/>
        </w:rPr>
      </w:pPr>
      <w:r w:rsidRPr="00003F02">
        <w:rPr>
          <w:rFonts w:ascii="Arial" w:hAnsi="Arial" w:cs="Arial"/>
          <w:b/>
          <w:sz w:val="20"/>
          <w:szCs w:val="20"/>
          <w:lang w:val="es-MX"/>
        </w:rPr>
        <w:t>Ministerio de Gobernación y Policía</w:t>
      </w:r>
    </w:p>
    <w:p w14:paraId="09683073" w14:textId="77777777" w:rsidR="004D3095" w:rsidRDefault="004D3095" w:rsidP="00BD5F61">
      <w:pPr>
        <w:spacing w:line="360" w:lineRule="auto"/>
        <w:jc w:val="both"/>
        <w:rPr>
          <w:rFonts w:ascii="Arial" w:hAnsi="Arial" w:cs="Arial"/>
          <w:sz w:val="20"/>
          <w:szCs w:val="20"/>
          <w:highlight w:val="yellow"/>
          <w:lang w:val="es-MX"/>
        </w:rPr>
      </w:pPr>
    </w:p>
    <w:p w14:paraId="7D177009" w14:textId="77777777" w:rsidR="007A2588" w:rsidRPr="00580437" w:rsidRDefault="00A32D8B" w:rsidP="00CA7171">
      <w:pPr>
        <w:pStyle w:val="Ttulo2"/>
        <w:numPr>
          <w:ilvl w:val="0"/>
          <w:numId w:val="0"/>
        </w:numPr>
        <w:jc w:val="left"/>
        <w:rPr>
          <w:rFonts w:ascii="Arial" w:eastAsiaTheme="majorEastAsia" w:hAnsi="Arial" w:cstheme="majorBidi"/>
          <w:iCs/>
          <w:smallCaps/>
          <w:color w:val="000000" w:themeColor="text1"/>
          <w:spacing w:val="15"/>
          <w:sz w:val="22"/>
        </w:rPr>
      </w:pPr>
      <w:bookmarkStart w:id="12" w:name="_Toc531253885"/>
      <w:r w:rsidRPr="00580437">
        <w:rPr>
          <w:rFonts w:ascii="Arial" w:eastAsiaTheme="majorEastAsia" w:hAnsi="Arial" w:cstheme="majorBidi"/>
          <w:iCs/>
          <w:smallCaps/>
          <w:color w:val="000000" w:themeColor="text1"/>
          <w:spacing w:val="15"/>
          <w:sz w:val="22"/>
        </w:rPr>
        <w:t>Análisis de los l</w:t>
      </w:r>
      <w:r w:rsidR="00BE0AA2" w:rsidRPr="00580437">
        <w:rPr>
          <w:rFonts w:ascii="Arial" w:eastAsiaTheme="majorEastAsia" w:hAnsi="Arial" w:cstheme="majorBidi"/>
          <w:iCs/>
          <w:smallCaps/>
          <w:color w:val="000000" w:themeColor="text1"/>
          <w:spacing w:val="15"/>
          <w:sz w:val="22"/>
        </w:rPr>
        <w:t>ogros</w:t>
      </w:r>
      <w:r w:rsidR="00D9384C" w:rsidRPr="00580437">
        <w:rPr>
          <w:rFonts w:ascii="Arial" w:eastAsiaTheme="majorEastAsia" w:hAnsi="Arial" w:cstheme="majorBidi"/>
          <w:iCs/>
          <w:smallCaps/>
          <w:color w:val="000000" w:themeColor="text1"/>
          <w:spacing w:val="15"/>
          <w:sz w:val="22"/>
        </w:rPr>
        <w:t xml:space="preserve"> obtenidos</w:t>
      </w:r>
      <w:bookmarkEnd w:id="12"/>
    </w:p>
    <w:p w14:paraId="0731F552" w14:textId="77777777" w:rsidR="007A2588" w:rsidRPr="001E098C" w:rsidRDefault="007A2588" w:rsidP="007A2588">
      <w:pPr>
        <w:jc w:val="both"/>
        <w:rPr>
          <w:rFonts w:ascii="Arial" w:hAnsi="Arial" w:cs="Arial"/>
          <w:b/>
          <w:sz w:val="20"/>
          <w:szCs w:val="20"/>
        </w:rPr>
      </w:pPr>
    </w:p>
    <w:p w14:paraId="229CFB92" w14:textId="77777777" w:rsidR="00E846EC" w:rsidRDefault="008C4911" w:rsidP="00E935A7">
      <w:pPr>
        <w:spacing w:line="360" w:lineRule="auto"/>
        <w:jc w:val="both"/>
        <w:rPr>
          <w:rFonts w:ascii="Arial" w:hAnsi="Arial" w:cs="Arial"/>
          <w:i/>
          <w:sz w:val="20"/>
          <w:szCs w:val="20"/>
          <w:lang w:val="es-MX"/>
        </w:rPr>
      </w:pPr>
      <w:r w:rsidRPr="00D84839">
        <w:rPr>
          <w:rFonts w:ascii="Arial" w:hAnsi="Arial" w:cs="Arial"/>
          <w:i/>
          <w:sz w:val="20"/>
          <w:szCs w:val="20"/>
          <w:lang w:val="es-MX"/>
        </w:rPr>
        <w:t>Para el caso de los programas y/o subprog</w:t>
      </w:r>
      <w:r w:rsidR="0089647A" w:rsidRPr="00D84839">
        <w:rPr>
          <w:rFonts w:ascii="Arial" w:hAnsi="Arial" w:cs="Arial"/>
          <w:i/>
          <w:sz w:val="20"/>
          <w:szCs w:val="20"/>
          <w:lang w:val="es-MX"/>
        </w:rPr>
        <w:t>r</w:t>
      </w:r>
      <w:r w:rsidRPr="00D84839">
        <w:rPr>
          <w:rFonts w:ascii="Arial" w:hAnsi="Arial" w:cs="Arial"/>
          <w:i/>
          <w:sz w:val="20"/>
          <w:szCs w:val="20"/>
          <w:lang w:val="es-MX"/>
        </w:rPr>
        <w:t xml:space="preserve">amas con producción no cuantificable, deberán aplicar </w:t>
      </w:r>
      <w:r w:rsidR="00C95D76">
        <w:rPr>
          <w:rFonts w:ascii="Arial" w:hAnsi="Arial" w:cs="Arial"/>
          <w:i/>
          <w:sz w:val="20"/>
          <w:szCs w:val="20"/>
          <w:lang w:val="es-MX"/>
        </w:rPr>
        <w:t xml:space="preserve">únicamente </w:t>
      </w:r>
      <w:r w:rsidRPr="00D84839">
        <w:rPr>
          <w:rFonts w:ascii="Arial" w:hAnsi="Arial" w:cs="Arial"/>
          <w:i/>
          <w:sz w:val="20"/>
          <w:szCs w:val="20"/>
          <w:lang w:val="es-MX"/>
        </w:rPr>
        <w:t>lo que se solicita en los puntos a) y b).</w:t>
      </w:r>
    </w:p>
    <w:p w14:paraId="7B6BCD07" w14:textId="77777777" w:rsidR="00C67713" w:rsidRDefault="00C67713" w:rsidP="00E935A7">
      <w:pPr>
        <w:spacing w:line="360" w:lineRule="auto"/>
        <w:jc w:val="both"/>
        <w:rPr>
          <w:rFonts w:ascii="Arial" w:hAnsi="Arial" w:cs="Arial"/>
          <w:i/>
          <w:sz w:val="20"/>
          <w:szCs w:val="20"/>
          <w:lang w:val="es-MX"/>
        </w:rPr>
      </w:pPr>
    </w:p>
    <w:p w14:paraId="71A58033" w14:textId="77777777" w:rsidR="00C67713" w:rsidRPr="00893822" w:rsidRDefault="00C67713" w:rsidP="00134F4A">
      <w:pPr>
        <w:pStyle w:val="Prrafodelista"/>
        <w:numPr>
          <w:ilvl w:val="0"/>
          <w:numId w:val="3"/>
        </w:numPr>
        <w:autoSpaceDE w:val="0"/>
        <w:autoSpaceDN w:val="0"/>
        <w:adjustRightInd w:val="0"/>
        <w:spacing w:after="200" w:line="276" w:lineRule="auto"/>
        <w:rPr>
          <w:rFonts w:ascii="Calibri" w:hAnsi="Calibri" w:cs="Calibri"/>
          <w:sz w:val="22"/>
          <w:szCs w:val="22"/>
          <w:lang w:val="es"/>
        </w:rPr>
      </w:pPr>
      <w:r w:rsidRPr="00893822">
        <w:rPr>
          <w:rFonts w:ascii="Calibri" w:hAnsi="Calibri" w:cs="Calibri"/>
          <w:sz w:val="22"/>
          <w:szCs w:val="22"/>
          <w:lang w:val="es"/>
        </w:rPr>
        <w:t>Comente ¿cómo la gestión desarrollada contribuyó con la misión institucional?</w:t>
      </w:r>
    </w:p>
    <w:p w14:paraId="07BDB14B" w14:textId="06D39692" w:rsidR="00180E1B" w:rsidRPr="00337264" w:rsidRDefault="005D7C2A" w:rsidP="00C67713">
      <w:pPr>
        <w:spacing w:line="360" w:lineRule="auto"/>
        <w:jc w:val="both"/>
        <w:rPr>
          <w:rFonts w:ascii="Arial" w:hAnsi="Arial" w:cs="Arial"/>
          <w:sz w:val="20"/>
          <w:szCs w:val="20"/>
          <w:lang w:val="es-MX"/>
        </w:rPr>
      </w:pPr>
      <w:r>
        <w:rPr>
          <w:rFonts w:ascii="Arial" w:hAnsi="Arial" w:cs="Arial"/>
          <w:sz w:val="20"/>
          <w:szCs w:val="20"/>
          <w:lang w:val="es-MX"/>
        </w:rPr>
        <w:t xml:space="preserve">La canalización de fondos </w:t>
      </w:r>
      <w:r w:rsidRPr="00337264">
        <w:rPr>
          <w:rFonts w:ascii="Arial" w:hAnsi="Arial" w:cs="Arial"/>
          <w:sz w:val="20"/>
          <w:szCs w:val="20"/>
          <w:lang w:val="es-MX"/>
        </w:rPr>
        <w:t>no reembolsables</w:t>
      </w:r>
      <w:r>
        <w:rPr>
          <w:rFonts w:ascii="Arial" w:hAnsi="Arial" w:cs="Arial"/>
          <w:sz w:val="20"/>
          <w:szCs w:val="20"/>
          <w:lang w:val="es-MX"/>
        </w:rPr>
        <w:t xml:space="preserve"> </w:t>
      </w:r>
      <w:r>
        <w:rPr>
          <w:rFonts w:ascii="Arial" w:hAnsi="Arial" w:cs="Arial"/>
          <w:sz w:val="20"/>
          <w:szCs w:val="20"/>
          <w:lang w:val="es-MX"/>
        </w:rPr>
        <w:t xml:space="preserve">para la realización de proyectos constituye una evidencia del </w:t>
      </w:r>
      <w:r w:rsidR="00180E1B" w:rsidRPr="00337264">
        <w:rPr>
          <w:rFonts w:ascii="Arial" w:hAnsi="Arial" w:cs="Arial"/>
          <w:sz w:val="20"/>
          <w:szCs w:val="20"/>
          <w:lang w:val="es-MX"/>
        </w:rPr>
        <w:t xml:space="preserve">fortalecimiento de las </w:t>
      </w:r>
      <w:r>
        <w:rPr>
          <w:rFonts w:ascii="Arial" w:hAnsi="Arial" w:cs="Arial"/>
          <w:sz w:val="20"/>
          <w:szCs w:val="20"/>
          <w:lang w:val="es-MX"/>
        </w:rPr>
        <w:t>a</w:t>
      </w:r>
      <w:r w:rsidR="00180E1B" w:rsidRPr="00337264">
        <w:rPr>
          <w:rFonts w:ascii="Arial" w:hAnsi="Arial" w:cs="Arial"/>
          <w:sz w:val="20"/>
          <w:szCs w:val="20"/>
          <w:lang w:val="es-MX"/>
        </w:rPr>
        <w:t xml:space="preserve">sociaciones de </w:t>
      </w:r>
      <w:r>
        <w:rPr>
          <w:rFonts w:ascii="Arial" w:hAnsi="Arial" w:cs="Arial"/>
          <w:sz w:val="20"/>
          <w:szCs w:val="20"/>
          <w:lang w:val="es-MX"/>
        </w:rPr>
        <w:t>d</w:t>
      </w:r>
      <w:r w:rsidR="00180E1B" w:rsidRPr="00337264">
        <w:rPr>
          <w:rFonts w:ascii="Arial" w:hAnsi="Arial" w:cs="Arial"/>
          <w:sz w:val="20"/>
          <w:szCs w:val="20"/>
          <w:lang w:val="es-MX"/>
        </w:rPr>
        <w:t>esarrollo comunal</w:t>
      </w:r>
      <w:r>
        <w:rPr>
          <w:rFonts w:ascii="Arial" w:hAnsi="Arial" w:cs="Arial"/>
          <w:sz w:val="20"/>
          <w:szCs w:val="20"/>
          <w:lang w:val="es-MX"/>
        </w:rPr>
        <w:t xml:space="preserve">, plasmados en la </w:t>
      </w:r>
      <w:r w:rsidRPr="00337264">
        <w:rPr>
          <w:rFonts w:ascii="Arial" w:hAnsi="Arial" w:cs="Arial"/>
          <w:sz w:val="20"/>
          <w:szCs w:val="20"/>
          <w:lang w:val="es-MX"/>
        </w:rPr>
        <w:t>infraestructura</w:t>
      </w:r>
      <w:r w:rsidR="00180E1B" w:rsidRPr="00337264">
        <w:rPr>
          <w:rFonts w:ascii="Arial" w:hAnsi="Arial" w:cs="Arial"/>
          <w:sz w:val="20"/>
          <w:szCs w:val="20"/>
          <w:lang w:val="es-MX"/>
        </w:rPr>
        <w:t xml:space="preserve"> comunal</w:t>
      </w:r>
      <w:r>
        <w:rPr>
          <w:rFonts w:ascii="Arial" w:hAnsi="Arial" w:cs="Arial"/>
          <w:sz w:val="20"/>
          <w:szCs w:val="20"/>
          <w:lang w:val="es-MX"/>
        </w:rPr>
        <w:t xml:space="preserve"> e</w:t>
      </w:r>
      <w:r w:rsidR="00180E1B" w:rsidRPr="00337264">
        <w:rPr>
          <w:rFonts w:ascii="Arial" w:hAnsi="Arial" w:cs="Arial"/>
          <w:sz w:val="20"/>
          <w:szCs w:val="20"/>
          <w:lang w:val="es-MX"/>
        </w:rPr>
        <w:t xml:space="preserve"> infraestructura vial</w:t>
      </w:r>
      <w:r>
        <w:rPr>
          <w:rFonts w:ascii="Arial" w:hAnsi="Arial" w:cs="Arial"/>
          <w:sz w:val="20"/>
          <w:szCs w:val="20"/>
          <w:lang w:val="es-MX"/>
        </w:rPr>
        <w:t xml:space="preserve"> desarrollada</w:t>
      </w:r>
      <w:r w:rsidR="00180E1B" w:rsidRPr="00337264">
        <w:rPr>
          <w:rFonts w:ascii="Arial" w:hAnsi="Arial" w:cs="Arial"/>
          <w:sz w:val="20"/>
          <w:szCs w:val="20"/>
          <w:lang w:val="es-MX"/>
        </w:rPr>
        <w:t>,</w:t>
      </w:r>
      <w:r>
        <w:rPr>
          <w:rFonts w:ascii="Arial" w:hAnsi="Arial" w:cs="Arial"/>
          <w:sz w:val="20"/>
          <w:szCs w:val="20"/>
          <w:lang w:val="es-MX"/>
        </w:rPr>
        <w:t xml:space="preserve"> puesto que permiten a las comunidades desarrollar actividades culturales, comerciales y otras propias del quehacer comunal, así como a la facilitación del acceso a medios de transporte y comunicación. </w:t>
      </w:r>
      <w:r w:rsidR="00180E1B" w:rsidRPr="00337264">
        <w:rPr>
          <w:rFonts w:ascii="Arial" w:hAnsi="Arial" w:cs="Arial"/>
          <w:sz w:val="20"/>
          <w:szCs w:val="20"/>
          <w:lang w:val="es-MX"/>
        </w:rPr>
        <w:t xml:space="preserve"> </w:t>
      </w:r>
    </w:p>
    <w:p w14:paraId="13474538" w14:textId="77777777" w:rsidR="00732988" w:rsidRPr="00337264" w:rsidRDefault="00732988" w:rsidP="00C67713">
      <w:pPr>
        <w:spacing w:line="360" w:lineRule="auto"/>
        <w:jc w:val="both"/>
        <w:rPr>
          <w:rFonts w:ascii="Arial" w:hAnsi="Arial" w:cs="Arial"/>
          <w:sz w:val="20"/>
          <w:szCs w:val="20"/>
          <w:lang w:val="es-MX"/>
        </w:rPr>
      </w:pPr>
    </w:p>
    <w:p w14:paraId="303726F3" w14:textId="14B71C50" w:rsidR="00337264" w:rsidRDefault="005D7C2A" w:rsidP="00C67713">
      <w:pPr>
        <w:spacing w:line="360" w:lineRule="auto"/>
        <w:jc w:val="both"/>
        <w:rPr>
          <w:rFonts w:ascii="Arial" w:hAnsi="Arial" w:cs="Arial"/>
          <w:sz w:val="20"/>
          <w:szCs w:val="20"/>
          <w:lang w:val="es-MX"/>
        </w:rPr>
      </w:pPr>
      <w:r>
        <w:rPr>
          <w:rFonts w:ascii="Arial" w:hAnsi="Arial" w:cs="Arial"/>
          <w:sz w:val="20"/>
          <w:szCs w:val="20"/>
          <w:lang w:val="es-MX"/>
        </w:rPr>
        <w:t>También este</w:t>
      </w:r>
      <w:r w:rsidR="00180E1B" w:rsidRPr="00337264">
        <w:rPr>
          <w:rFonts w:ascii="Arial" w:hAnsi="Arial" w:cs="Arial"/>
          <w:sz w:val="20"/>
          <w:szCs w:val="20"/>
          <w:lang w:val="es-MX"/>
        </w:rPr>
        <w:t xml:space="preserve"> apoyo a las organizaciones de desarrollo comunal </w:t>
      </w:r>
      <w:r>
        <w:rPr>
          <w:rFonts w:ascii="Arial" w:hAnsi="Arial" w:cs="Arial"/>
          <w:sz w:val="20"/>
          <w:szCs w:val="20"/>
          <w:lang w:val="es-MX"/>
        </w:rPr>
        <w:t>contribuye a</w:t>
      </w:r>
      <w:r w:rsidR="00180E1B" w:rsidRPr="00337264">
        <w:rPr>
          <w:rFonts w:ascii="Arial" w:hAnsi="Arial" w:cs="Arial"/>
          <w:sz w:val="20"/>
          <w:szCs w:val="20"/>
          <w:lang w:val="es-MX"/>
        </w:rPr>
        <w:t xml:space="preserve"> la organización </w:t>
      </w:r>
      <w:r w:rsidR="00AA26CD" w:rsidRPr="00337264">
        <w:rPr>
          <w:rFonts w:ascii="Arial" w:hAnsi="Arial" w:cs="Arial"/>
          <w:sz w:val="20"/>
          <w:szCs w:val="20"/>
          <w:lang w:val="es-MX"/>
        </w:rPr>
        <w:t xml:space="preserve">y participación </w:t>
      </w:r>
      <w:r w:rsidR="00180E1B" w:rsidRPr="00337264">
        <w:rPr>
          <w:rFonts w:ascii="Arial" w:hAnsi="Arial" w:cs="Arial"/>
          <w:sz w:val="20"/>
          <w:szCs w:val="20"/>
          <w:lang w:val="es-MX"/>
        </w:rPr>
        <w:t xml:space="preserve">comunitaria y </w:t>
      </w:r>
      <w:r w:rsidR="00AA26CD" w:rsidRPr="00337264">
        <w:rPr>
          <w:rFonts w:ascii="Arial" w:hAnsi="Arial" w:cs="Arial"/>
          <w:sz w:val="20"/>
          <w:szCs w:val="20"/>
          <w:lang w:val="es-MX"/>
        </w:rPr>
        <w:t>brinda un impacto duradero a los residentes de dichas comunidades al proveerles de recursos físicos</w:t>
      </w:r>
      <w:r w:rsidR="00180E1B" w:rsidRPr="00337264">
        <w:rPr>
          <w:rFonts w:ascii="Arial" w:hAnsi="Arial" w:cs="Arial"/>
          <w:sz w:val="20"/>
          <w:szCs w:val="20"/>
          <w:lang w:val="es-MX"/>
        </w:rPr>
        <w:t xml:space="preserve"> </w:t>
      </w:r>
      <w:r w:rsidR="00AA26CD" w:rsidRPr="00337264">
        <w:rPr>
          <w:rFonts w:ascii="Arial" w:hAnsi="Arial" w:cs="Arial"/>
          <w:sz w:val="20"/>
          <w:szCs w:val="20"/>
          <w:lang w:val="es-MX"/>
        </w:rPr>
        <w:t>que favorecen su bienestar</w:t>
      </w:r>
      <w:r w:rsidR="00C44947" w:rsidRPr="00337264">
        <w:rPr>
          <w:rFonts w:ascii="Arial" w:hAnsi="Arial" w:cs="Arial"/>
          <w:sz w:val="20"/>
          <w:szCs w:val="20"/>
          <w:lang w:val="es-MX"/>
        </w:rPr>
        <w:t xml:space="preserve"> actual y sus capacidades de desarrollo</w:t>
      </w:r>
      <w:r w:rsidR="00180E1B" w:rsidRPr="00337264">
        <w:rPr>
          <w:rFonts w:ascii="Arial" w:hAnsi="Arial" w:cs="Arial"/>
          <w:sz w:val="20"/>
          <w:szCs w:val="20"/>
          <w:lang w:val="es-MX"/>
        </w:rPr>
        <w:t>.</w:t>
      </w:r>
    </w:p>
    <w:p w14:paraId="661281A3" w14:textId="77777777" w:rsidR="005F4C4B" w:rsidRDefault="005F4C4B" w:rsidP="00C67713">
      <w:pPr>
        <w:spacing w:line="360" w:lineRule="auto"/>
        <w:jc w:val="both"/>
        <w:rPr>
          <w:rFonts w:ascii="Arial" w:hAnsi="Arial" w:cs="Arial"/>
          <w:sz w:val="20"/>
          <w:szCs w:val="20"/>
          <w:lang w:val="es-MX"/>
        </w:rPr>
      </w:pPr>
    </w:p>
    <w:p w14:paraId="4FC5E741" w14:textId="3992682B" w:rsidR="005F4C4B" w:rsidRDefault="005F4C4B" w:rsidP="00C67713">
      <w:pPr>
        <w:spacing w:line="360" w:lineRule="auto"/>
        <w:jc w:val="both"/>
        <w:rPr>
          <w:rFonts w:ascii="Arial" w:hAnsi="Arial" w:cs="Arial"/>
          <w:sz w:val="20"/>
          <w:szCs w:val="20"/>
          <w:lang w:val="es-MX"/>
        </w:rPr>
      </w:pPr>
      <w:r>
        <w:rPr>
          <w:rFonts w:ascii="Arial" w:hAnsi="Arial" w:cs="Arial"/>
          <w:sz w:val="20"/>
          <w:szCs w:val="20"/>
          <w:lang w:val="es-MX"/>
        </w:rPr>
        <w:t xml:space="preserve">Finalmente, el seguimiento que se da a proyectos en operación, permite confirmar el uso que se le da a la infraestructura, de forma que se constate la consecución de su propósito.  </w:t>
      </w:r>
    </w:p>
    <w:p w14:paraId="4EDDF532" w14:textId="0D59B9D0" w:rsidR="00337264" w:rsidRDefault="00337264" w:rsidP="00C67713">
      <w:pPr>
        <w:spacing w:line="360" w:lineRule="auto"/>
        <w:jc w:val="both"/>
        <w:rPr>
          <w:rFonts w:ascii="Arial" w:hAnsi="Arial" w:cs="Arial"/>
          <w:sz w:val="20"/>
          <w:szCs w:val="20"/>
          <w:lang w:val="es-MX"/>
        </w:rPr>
      </w:pPr>
    </w:p>
    <w:p w14:paraId="34144C7E" w14:textId="77777777" w:rsidR="002F6679" w:rsidRDefault="002F6679" w:rsidP="00C67713">
      <w:pPr>
        <w:spacing w:line="360" w:lineRule="auto"/>
        <w:jc w:val="both"/>
        <w:rPr>
          <w:rFonts w:ascii="Arial" w:hAnsi="Arial" w:cs="Arial"/>
          <w:sz w:val="20"/>
          <w:szCs w:val="20"/>
          <w:highlight w:val="yellow"/>
          <w:lang w:val="es-MX"/>
        </w:rPr>
      </w:pPr>
    </w:p>
    <w:p w14:paraId="09C742A3" w14:textId="77777777" w:rsidR="00384757" w:rsidRPr="00893822" w:rsidRDefault="00384757" w:rsidP="00893822">
      <w:pPr>
        <w:pStyle w:val="Prrafodelista"/>
        <w:numPr>
          <w:ilvl w:val="0"/>
          <w:numId w:val="3"/>
        </w:numPr>
        <w:autoSpaceDE w:val="0"/>
        <w:autoSpaceDN w:val="0"/>
        <w:adjustRightInd w:val="0"/>
        <w:spacing w:after="200" w:line="276" w:lineRule="auto"/>
        <w:jc w:val="both"/>
        <w:rPr>
          <w:rFonts w:ascii="Arial" w:hAnsi="Arial" w:cs="Arial"/>
          <w:sz w:val="20"/>
          <w:szCs w:val="20"/>
          <w:lang w:val="es"/>
        </w:rPr>
      </w:pPr>
      <w:r w:rsidRPr="00893822">
        <w:rPr>
          <w:rFonts w:ascii="Arial" w:hAnsi="Arial" w:cs="Arial"/>
          <w:sz w:val="20"/>
          <w:szCs w:val="20"/>
          <w:lang w:val="es"/>
        </w:rPr>
        <w:t xml:space="preserve">En caso que corresponda, refiérase a la vinculación de los logros del programa y/o subprograma con lo establecido en el Plan Nacional de Desarrollo 2015-2018.  </w:t>
      </w:r>
    </w:p>
    <w:p w14:paraId="3C5417EB" w14:textId="6B5792D5" w:rsidR="002F6679" w:rsidRPr="00F82D83" w:rsidRDefault="005F4C4B" w:rsidP="002F6679">
      <w:pPr>
        <w:spacing w:line="360" w:lineRule="auto"/>
        <w:ind w:left="360"/>
        <w:jc w:val="both"/>
        <w:rPr>
          <w:rFonts w:ascii="Arial" w:hAnsi="Arial" w:cs="Arial"/>
          <w:sz w:val="20"/>
          <w:szCs w:val="20"/>
        </w:rPr>
      </w:pPr>
      <w:r>
        <w:rPr>
          <w:rFonts w:ascii="Arial" w:hAnsi="Arial" w:cs="Arial"/>
          <w:sz w:val="20"/>
          <w:szCs w:val="20"/>
        </w:rPr>
        <w:t>Para el periodo 2015-2018, Dinadeco perteneció</w:t>
      </w:r>
      <w:r w:rsidR="00B96C06" w:rsidRPr="00F82D83">
        <w:rPr>
          <w:rFonts w:ascii="Arial" w:hAnsi="Arial" w:cs="Arial"/>
          <w:sz w:val="20"/>
          <w:szCs w:val="20"/>
        </w:rPr>
        <w:t xml:space="preserve"> al </w:t>
      </w:r>
      <w:r w:rsidR="000D24E5" w:rsidRPr="00F82D83">
        <w:rPr>
          <w:rFonts w:ascii="Arial" w:hAnsi="Arial" w:cs="Arial"/>
          <w:sz w:val="20"/>
          <w:szCs w:val="20"/>
        </w:rPr>
        <w:t xml:space="preserve">eje </w:t>
      </w:r>
      <w:r w:rsidR="006F2AB9" w:rsidRPr="00F82D83">
        <w:rPr>
          <w:rFonts w:ascii="Arial" w:hAnsi="Arial" w:cs="Arial"/>
          <w:sz w:val="20"/>
          <w:szCs w:val="20"/>
        </w:rPr>
        <w:t xml:space="preserve">de articulación </w:t>
      </w:r>
      <w:r w:rsidR="000D24E5" w:rsidRPr="00F82D83">
        <w:rPr>
          <w:rFonts w:ascii="Arial" w:hAnsi="Arial" w:cs="Arial"/>
          <w:sz w:val="20"/>
          <w:szCs w:val="20"/>
        </w:rPr>
        <w:t>sectorial de Desarrollo Humano e Inclusión Social bajo la rectoría del Instituto Mixto de Ayuda Social (IMAS)</w:t>
      </w:r>
      <w:r w:rsidR="00384757" w:rsidRPr="00F82D83">
        <w:rPr>
          <w:rFonts w:ascii="Arial" w:hAnsi="Arial" w:cs="Arial"/>
          <w:sz w:val="20"/>
          <w:szCs w:val="20"/>
        </w:rPr>
        <w:t xml:space="preserve">.  </w:t>
      </w:r>
    </w:p>
    <w:p w14:paraId="01266EC3" w14:textId="77777777" w:rsidR="002F6679" w:rsidRPr="00F82D83" w:rsidRDefault="002F6679" w:rsidP="002F6679">
      <w:pPr>
        <w:spacing w:line="360" w:lineRule="auto"/>
        <w:ind w:left="360"/>
        <w:jc w:val="both"/>
        <w:rPr>
          <w:rFonts w:ascii="Arial" w:hAnsi="Arial" w:cs="Arial"/>
          <w:sz w:val="20"/>
          <w:szCs w:val="20"/>
        </w:rPr>
      </w:pPr>
    </w:p>
    <w:p w14:paraId="3A73E0E5" w14:textId="77777777" w:rsidR="006F2AB9" w:rsidRPr="00F82D83" w:rsidRDefault="00255E41" w:rsidP="002F6679">
      <w:pPr>
        <w:spacing w:line="360" w:lineRule="auto"/>
        <w:ind w:left="360"/>
        <w:jc w:val="both"/>
        <w:rPr>
          <w:rFonts w:ascii="Arial" w:hAnsi="Arial" w:cs="Arial"/>
          <w:sz w:val="20"/>
          <w:szCs w:val="20"/>
        </w:rPr>
      </w:pPr>
      <w:r w:rsidRPr="00F82D83">
        <w:rPr>
          <w:rFonts w:ascii="Arial" w:hAnsi="Arial" w:cs="Arial"/>
          <w:sz w:val="20"/>
          <w:szCs w:val="20"/>
        </w:rPr>
        <w:t xml:space="preserve">Relativo a la </w:t>
      </w:r>
      <w:r w:rsidR="006F2AB9" w:rsidRPr="00F82D83">
        <w:rPr>
          <w:rFonts w:ascii="Arial" w:hAnsi="Arial" w:cs="Arial"/>
          <w:sz w:val="20"/>
          <w:szCs w:val="20"/>
        </w:rPr>
        <w:t>vinculación con el PND 2015-2018 los compromisos asumidos por Dinadeco</w:t>
      </w:r>
      <w:r w:rsidR="002F6679" w:rsidRPr="00F82D83">
        <w:rPr>
          <w:rFonts w:ascii="Arial" w:hAnsi="Arial" w:cs="Arial"/>
          <w:sz w:val="20"/>
          <w:szCs w:val="20"/>
        </w:rPr>
        <w:t xml:space="preserve"> se muestran a continuación</w:t>
      </w:r>
      <w:r w:rsidRPr="00F82D83">
        <w:rPr>
          <w:rFonts w:ascii="Arial" w:hAnsi="Arial" w:cs="Arial"/>
          <w:sz w:val="20"/>
          <w:szCs w:val="20"/>
        </w:rPr>
        <w:t>:</w:t>
      </w:r>
    </w:p>
    <w:p w14:paraId="0A87718F" w14:textId="77777777" w:rsidR="00384757" w:rsidRPr="00F82D83" w:rsidRDefault="00384757">
      <w:pPr>
        <w:rPr>
          <w:rFonts w:ascii="Arial" w:hAnsi="Arial" w:cs="Arial"/>
          <w:sz w:val="20"/>
          <w:szCs w:val="20"/>
          <w:highlight w:val="yellow"/>
          <w:lang w:val="es-MX"/>
        </w:rPr>
      </w:pPr>
    </w:p>
    <w:p w14:paraId="091C3B04" w14:textId="77777777" w:rsidR="008A157B" w:rsidRPr="00F82D83" w:rsidRDefault="008A157B" w:rsidP="00D82D57">
      <w:pPr>
        <w:jc w:val="both"/>
        <w:rPr>
          <w:rFonts w:ascii="Arial" w:hAnsi="Arial" w:cs="Arial"/>
          <w:sz w:val="20"/>
          <w:szCs w:val="20"/>
          <w:lang w:val="es-MX"/>
        </w:rPr>
      </w:pPr>
    </w:p>
    <w:p w14:paraId="1B10C78C" w14:textId="77777777" w:rsidR="002F6679" w:rsidRPr="00F82D83" w:rsidRDefault="002F6679" w:rsidP="002F6679">
      <w:pPr>
        <w:pStyle w:val="Prrafodelista"/>
        <w:numPr>
          <w:ilvl w:val="0"/>
          <w:numId w:val="28"/>
        </w:numPr>
        <w:spacing w:line="360" w:lineRule="auto"/>
        <w:jc w:val="both"/>
        <w:rPr>
          <w:rFonts w:ascii="Arial" w:hAnsi="Arial" w:cs="Arial"/>
          <w:sz w:val="20"/>
          <w:szCs w:val="20"/>
          <w:lang w:val="es-MX"/>
        </w:rPr>
      </w:pPr>
      <w:r w:rsidRPr="00F82D83">
        <w:rPr>
          <w:rFonts w:ascii="Arial" w:hAnsi="Arial" w:cs="Arial"/>
          <w:sz w:val="20"/>
          <w:szCs w:val="20"/>
          <w:lang w:val="es-MX"/>
        </w:rPr>
        <w:t>Número de proyectos de desarrollo inclusivo ejecutados en los territorios priorizados y además distritos, en los que se beneficien familias en condición de pobreza</w:t>
      </w:r>
    </w:p>
    <w:p w14:paraId="6DC3F716" w14:textId="77777777" w:rsidR="002F6679" w:rsidRPr="00F82D83" w:rsidRDefault="002F6679" w:rsidP="002F6679">
      <w:pPr>
        <w:pStyle w:val="Prrafodelista"/>
        <w:numPr>
          <w:ilvl w:val="0"/>
          <w:numId w:val="28"/>
        </w:numPr>
        <w:spacing w:line="360" w:lineRule="auto"/>
        <w:jc w:val="both"/>
        <w:rPr>
          <w:rFonts w:ascii="Arial" w:hAnsi="Arial" w:cs="Arial"/>
          <w:sz w:val="20"/>
          <w:szCs w:val="20"/>
          <w:lang w:val="es-MX"/>
        </w:rPr>
      </w:pPr>
      <w:r w:rsidRPr="00F82D83">
        <w:rPr>
          <w:rFonts w:ascii="Arial" w:hAnsi="Arial" w:cs="Arial"/>
          <w:sz w:val="20"/>
          <w:szCs w:val="20"/>
          <w:lang w:val="es-MX"/>
        </w:rPr>
        <w:t>Número de proyectos ejecutados en territorios indígenas.</w:t>
      </w:r>
    </w:p>
    <w:p w14:paraId="11EAEDCC" w14:textId="77777777" w:rsidR="002F6679" w:rsidRDefault="002F6679" w:rsidP="00C67713">
      <w:pPr>
        <w:spacing w:line="360" w:lineRule="auto"/>
        <w:jc w:val="both"/>
        <w:rPr>
          <w:rFonts w:ascii="Arial" w:hAnsi="Arial" w:cs="Arial"/>
          <w:sz w:val="20"/>
          <w:szCs w:val="20"/>
          <w:lang w:val="es-MX"/>
        </w:rPr>
      </w:pPr>
    </w:p>
    <w:p w14:paraId="7CB166AD" w14:textId="750A1E65" w:rsidR="00BC6B85" w:rsidRDefault="002F6679" w:rsidP="00B96C06">
      <w:pPr>
        <w:spacing w:line="360" w:lineRule="auto"/>
        <w:ind w:left="360"/>
        <w:jc w:val="both"/>
        <w:rPr>
          <w:rFonts w:ascii="Arial" w:hAnsi="Arial" w:cs="Arial"/>
          <w:sz w:val="20"/>
          <w:szCs w:val="20"/>
        </w:rPr>
      </w:pPr>
      <w:r>
        <w:rPr>
          <w:rFonts w:ascii="Arial" w:hAnsi="Arial" w:cs="Arial"/>
          <w:sz w:val="20"/>
          <w:szCs w:val="20"/>
        </w:rPr>
        <w:t xml:space="preserve">Ambos indicadores de productos se venían ejecutando hasta el año 2017 de acuerdo con lo programado para el acumulado de la meta del 2015-2017.  </w:t>
      </w:r>
      <w:r w:rsidR="005F4C4B">
        <w:rPr>
          <w:rFonts w:ascii="Arial" w:hAnsi="Arial" w:cs="Arial"/>
          <w:sz w:val="20"/>
          <w:szCs w:val="20"/>
        </w:rPr>
        <w:t>Si bien para los cuadros 3 y 4 se detalla m</w:t>
      </w:r>
      <w:r w:rsidRPr="002F6679">
        <w:rPr>
          <w:rFonts w:ascii="Arial" w:hAnsi="Arial" w:cs="Arial"/>
          <w:sz w:val="20"/>
          <w:szCs w:val="20"/>
        </w:rPr>
        <w:t xml:space="preserve">ás adelante los resultados de cada </w:t>
      </w:r>
      <w:r>
        <w:rPr>
          <w:rFonts w:ascii="Arial" w:hAnsi="Arial" w:cs="Arial"/>
          <w:sz w:val="20"/>
          <w:szCs w:val="20"/>
        </w:rPr>
        <w:t xml:space="preserve">uno de estos </w:t>
      </w:r>
      <w:r w:rsidRPr="002F6679">
        <w:rPr>
          <w:rFonts w:ascii="Arial" w:hAnsi="Arial" w:cs="Arial"/>
          <w:sz w:val="20"/>
          <w:szCs w:val="20"/>
        </w:rPr>
        <w:t>indicador</w:t>
      </w:r>
      <w:r>
        <w:rPr>
          <w:rFonts w:ascii="Arial" w:hAnsi="Arial" w:cs="Arial"/>
          <w:sz w:val="20"/>
          <w:szCs w:val="20"/>
        </w:rPr>
        <w:t>es</w:t>
      </w:r>
      <w:r w:rsidR="005F4C4B">
        <w:rPr>
          <w:rFonts w:ascii="Arial" w:hAnsi="Arial" w:cs="Arial"/>
          <w:sz w:val="20"/>
          <w:szCs w:val="20"/>
        </w:rPr>
        <w:t xml:space="preserve"> de producto, cabe destacar que se cumplió por completo la cantidad de proyectos ejecutados en territorios indígenas, pero en cuanto a</w:t>
      </w:r>
      <w:r w:rsidR="003570B6">
        <w:rPr>
          <w:rFonts w:ascii="Arial" w:hAnsi="Arial" w:cs="Arial"/>
          <w:sz w:val="20"/>
          <w:szCs w:val="20"/>
        </w:rPr>
        <w:t>l indicador ligado a</w:t>
      </w:r>
      <w:r w:rsidR="005F4C4B">
        <w:rPr>
          <w:rFonts w:ascii="Arial" w:hAnsi="Arial" w:cs="Arial"/>
          <w:sz w:val="20"/>
          <w:szCs w:val="20"/>
        </w:rPr>
        <w:t xml:space="preserve"> los proyectos priorizados, </w:t>
      </w:r>
      <w:r w:rsidR="00FF023E">
        <w:rPr>
          <w:rFonts w:ascii="Arial" w:hAnsi="Arial" w:cs="Arial"/>
          <w:sz w:val="20"/>
          <w:szCs w:val="20"/>
        </w:rPr>
        <w:t>hubo seis proyectos que no alcanzaron a liquidarse en el 2018</w:t>
      </w:r>
      <w:r w:rsidR="003570B6">
        <w:rPr>
          <w:rFonts w:ascii="Arial" w:hAnsi="Arial" w:cs="Arial"/>
          <w:sz w:val="20"/>
          <w:szCs w:val="20"/>
        </w:rPr>
        <w:t>. Pese a que este informe solo analiza el reporte anual, para efectos del Plan Nacional de Desarrollo, la meta asociada a este indicador alcanzó un acumulado de 89.13% (41 proyectos liquidados de 46). Para los proyectos no liquidados</w:t>
      </w:r>
      <w:r w:rsidR="005F4C4B">
        <w:rPr>
          <w:rFonts w:ascii="Arial" w:hAnsi="Arial" w:cs="Arial"/>
          <w:sz w:val="20"/>
          <w:szCs w:val="20"/>
        </w:rPr>
        <w:t xml:space="preserve"> </w:t>
      </w:r>
      <w:r w:rsidR="003570B6">
        <w:rPr>
          <w:rFonts w:ascii="Arial" w:hAnsi="Arial" w:cs="Arial"/>
          <w:sz w:val="20"/>
          <w:szCs w:val="20"/>
        </w:rPr>
        <w:t>se mantienen en un seguimiento para que durante el 2019 cumplan con dicha condición.</w:t>
      </w:r>
    </w:p>
    <w:p w14:paraId="3CBCE433" w14:textId="77777777" w:rsidR="00BC6B85" w:rsidRDefault="00BC6B85" w:rsidP="00B96C06">
      <w:pPr>
        <w:spacing w:line="360" w:lineRule="auto"/>
        <w:ind w:left="360"/>
        <w:jc w:val="both"/>
        <w:rPr>
          <w:rFonts w:ascii="Arial" w:hAnsi="Arial" w:cs="Arial"/>
          <w:sz w:val="20"/>
          <w:szCs w:val="20"/>
        </w:rPr>
      </w:pPr>
    </w:p>
    <w:p w14:paraId="358B3AFD" w14:textId="77777777" w:rsidR="00BC6B85" w:rsidRDefault="00BC6B85" w:rsidP="00BC6B85">
      <w:pPr>
        <w:jc w:val="both"/>
        <w:rPr>
          <w:rFonts w:ascii="Arial" w:hAnsi="Arial" w:cs="Arial"/>
          <w:sz w:val="20"/>
          <w:szCs w:val="20"/>
          <w:lang w:val="es-MX"/>
        </w:rPr>
      </w:pPr>
    </w:p>
    <w:p w14:paraId="5D16B338" w14:textId="77777777" w:rsidR="00F7444D" w:rsidRPr="00F3426C" w:rsidRDefault="00F7444D" w:rsidP="00F3426C">
      <w:pPr>
        <w:spacing w:line="360" w:lineRule="auto"/>
        <w:jc w:val="center"/>
        <w:rPr>
          <w:rFonts w:ascii="Arial" w:hAnsi="Arial" w:cs="Arial"/>
          <w:b/>
          <w:sz w:val="20"/>
          <w:szCs w:val="20"/>
          <w:lang w:val="es-MX"/>
        </w:rPr>
      </w:pPr>
      <w:r w:rsidRPr="00F3426C">
        <w:rPr>
          <w:rFonts w:ascii="Arial" w:hAnsi="Arial" w:cs="Arial"/>
          <w:b/>
          <w:sz w:val="20"/>
          <w:szCs w:val="20"/>
          <w:lang w:val="es-MX"/>
        </w:rPr>
        <w:t>Cuadro 3</w:t>
      </w:r>
    </w:p>
    <w:p w14:paraId="4AE64EBC" w14:textId="77777777" w:rsidR="00F7444D" w:rsidRPr="00F3426C" w:rsidRDefault="00F7444D" w:rsidP="00F3426C">
      <w:pPr>
        <w:spacing w:line="360" w:lineRule="auto"/>
        <w:jc w:val="center"/>
        <w:rPr>
          <w:rFonts w:ascii="Arial" w:hAnsi="Arial" w:cs="Arial"/>
          <w:b/>
          <w:sz w:val="20"/>
          <w:szCs w:val="20"/>
          <w:lang w:val="es-MX"/>
        </w:rPr>
      </w:pPr>
      <w:r w:rsidRPr="00F3426C">
        <w:rPr>
          <w:rFonts w:ascii="Arial" w:hAnsi="Arial" w:cs="Arial"/>
          <w:b/>
          <w:sz w:val="20"/>
          <w:szCs w:val="20"/>
          <w:lang w:val="es-MX"/>
        </w:rPr>
        <w:t>Institución: DINADECO</w:t>
      </w:r>
    </w:p>
    <w:p w14:paraId="00676D4C" w14:textId="77777777" w:rsidR="00F7444D" w:rsidRPr="00F3426C" w:rsidRDefault="00F7444D" w:rsidP="00F3426C">
      <w:pPr>
        <w:spacing w:line="360" w:lineRule="auto"/>
        <w:jc w:val="center"/>
        <w:rPr>
          <w:rFonts w:ascii="Arial" w:hAnsi="Arial" w:cs="Arial"/>
          <w:b/>
          <w:sz w:val="20"/>
          <w:szCs w:val="20"/>
          <w:lang w:val="es-MX"/>
        </w:rPr>
      </w:pPr>
      <w:r w:rsidRPr="00F3426C">
        <w:rPr>
          <w:rFonts w:ascii="Arial" w:hAnsi="Arial" w:cs="Arial"/>
          <w:b/>
          <w:sz w:val="20"/>
          <w:szCs w:val="20"/>
          <w:lang w:val="es-MX"/>
        </w:rPr>
        <w:t>Programa 049 Desarrollo de la Comunidad</w:t>
      </w:r>
    </w:p>
    <w:p w14:paraId="1AD8BEC6" w14:textId="77777777" w:rsidR="00F7444D" w:rsidRPr="00F3426C" w:rsidRDefault="00F7444D" w:rsidP="00F3426C">
      <w:pPr>
        <w:spacing w:line="360" w:lineRule="auto"/>
        <w:jc w:val="center"/>
        <w:rPr>
          <w:rFonts w:ascii="Arial" w:hAnsi="Arial" w:cs="Arial"/>
          <w:b/>
          <w:sz w:val="20"/>
          <w:szCs w:val="20"/>
          <w:lang w:val="es-MX"/>
        </w:rPr>
      </w:pPr>
      <w:r w:rsidRPr="00F3426C">
        <w:rPr>
          <w:rFonts w:ascii="Arial" w:hAnsi="Arial" w:cs="Arial"/>
          <w:b/>
          <w:sz w:val="20"/>
          <w:szCs w:val="20"/>
          <w:lang w:val="es-MX"/>
        </w:rPr>
        <w:t>Cumplimiento de Unidades de Medida</w:t>
      </w:r>
    </w:p>
    <w:p w14:paraId="081B7452" w14:textId="77777777" w:rsidR="00285977" w:rsidRPr="00F3426C" w:rsidRDefault="00F7444D" w:rsidP="00F3426C">
      <w:pPr>
        <w:spacing w:line="360" w:lineRule="auto"/>
        <w:jc w:val="center"/>
        <w:rPr>
          <w:rFonts w:ascii="Arial" w:hAnsi="Arial" w:cs="Arial"/>
          <w:b/>
          <w:sz w:val="20"/>
          <w:szCs w:val="20"/>
          <w:lang w:val="es-MX"/>
        </w:rPr>
      </w:pPr>
      <w:r w:rsidRPr="00F3426C">
        <w:rPr>
          <w:rFonts w:ascii="Arial" w:hAnsi="Arial" w:cs="Arial"/>
          <w:b/>
          <w:sz w:val="20"/>
          <w:szCs w:val="20"/>
          <w:lang w:val="es-MX"/>
        </w:rPr>
        <w:t>al 31 de diciembre de 2018</w:t>
      </w:r>
    </w:p>
    <w:tbl>
      <w:tblPr>
        <w:tblStyle w:val="Listaclara-nfasis5"/>
        <w:tblW w:w="8580" w:type="dxa"/>
        <w:tblBorders>
          <w:insideH w:val="single" w:sz="8" w:space="0" w:color="4BACC6" w:themeColor="accent5"/>
          <w:insideV w:val="single" w:sz="8" w:space="0" w:color="4BACC6" w:themeColor="accent5"/>
        </w:tblBorders>
        <w:tblLook w:val="04A0" w:firstRow="1" w:lastRow="0" w:firstColumn="1" w:lastColumn="0" w:noHBand="0" w:noVBand="1"/>
      </w:tblPr>
      <w:tblGrid>
        <w:gridCol w:w="1501"/>
        <w:gridCol w:w="1431"/>
        <w:gridCol w:w="2133"/>
        <w:gridCol w:w="1125"/>
        <w:gridCol w:w="964"/>
        <w:gridCol w:w="1426"/>
      </w:tblGrid>
      <w:tr w:rsidR="00867AC0" w:rsidRPr="00FD5E6E" w14:paraId="7D3A2049" w14:textId="77777777" w:rsidTr="006044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1" w:type="dxa"/>
          </w:tcPr>
          <w:p w14:paraId="204A2D1B" w14:textId="77777777" w:rsidR="00867AC0" w:rsidRPr="00FD5E6E" w:rsidRDefault="00867AC0" w:rsidP="008E578F">
            <w:pPr>
              <w:jc w:val="center"/>
              <w:rPr>
                <w:rFonts w:ascii="Arial" w:hAnsi="Arial" w:cs="Arial"/>
                <w:b w:val="0"/>
                <w:sz w:val="16"/>
                <w:szCs w:val="16"/>
              </w:rPr>
            </w:pPr>
            <w:r w:rsidRPr="00FD5E6E">
              <w:rPr>
                <w:rFonts w:ascii="Arial" w:hAnsi="Arial" w:cs="Arial"/>
                <w:b w:val="0"/>
                <w:bCs w:val="0"/>
                <w:sz w:val="16"/>
                <w:szCs w:val="16"/>
              </w:rPr>
              <w:t>Nombre del Programa o Subprograma</w:t>
            </w:r>
          </w:p>
        </w:tc>
        <w:tc>
          <w:tcPr>
            <w:tcW w:w="1431" w:type="dxa"/>
          </w:tcPr>
          <w:p w14:paraId="58B12AF1" w14:textId="77777777" w:rsidR="00867AC0" w:rsidRPr="00FD5E6E"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D5E6E">
              <w:rPr>
                <w:rFonts w:ascii="Arial" w:hAnsi="Arial" w:cs="Arial"/>
                <w:b w:val="0"/>
                <w:bCs w:val="0"/>
                <w:sz w:val="16"/>
                <w:szCs w:val="16"/>
              </w:rPr>
              <w:t>Nombre del Producto</w:t>
            </w:r>
          </w:p>
        </w:tc>
        <w:tc>
          <w:tcPr>
            <w:tcW w:w="2133" w:type="dxa"/>
          </w:tcPr>
          <w:p w14:paraId="1FC939FE" w14:textId="77777777" w:rsidR="00867AC0" w:rsidRPr="00FD5E6E"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D5E6E">
              <w:rPr>
                <w:rFonts w:ascii="Arial" w:hAnsi="Arial" w:cs="Arial"/>
                <w:b w:val="0"/>
                <w:bCs w:val="0"/>
                <w:sz w:val="16"/>
                <w:szCs w:val="16"/>
              </w:rPr>
              <w:t>Nombre de la Unidad de Medida</w:t>
            </w:r>
          </w:p>
        </w:tc>
        <w:tc>
          <w:tcPr>
            <w:tcW w:w="1125" w:type="dxa"/>
          </w:tcPr>
          <w:p w14:paraId="05C281F8" w14:textId="77777777" w:rsidR="00867AC0" w:rsidRPr="00FD5E6E"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D5E6E">
              <w:rPr>
                <w:rFonts w:ascii="Arial" w:hAnsi="Arial" w:cs="Arial"/>
                <w:b w:val="0"/>
                <w:bCs w:val="0"/>
                <w:sz w:val="16"/>
                <w:szCs w:val="16"/>
              </w:rPr>
              <w:t>Programado</w:t>
            </w:r>
          </w:p>
        </w:tc>
        <w:tc>
          <w:tcPr>
            <w:tcW w:w="964" w:type="dxa"/>
          </w:tcPr>
          <w:p w14:paraId="1200BF85" w14:textId="77777777" w:rsidR="00867AC0" w:rsidRPr="00FD5E6E"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D5E6E">
              <w:rPr>
                <w:rFonts w:ascii="Arial" w:hAnsi="Arial" w:cs="Arial"/>
                <w:b w:val="0"/>
                <w:bCs w:val="0"/>
                <w:sz w:val="16"/>
                <w:szCs w:val="16"/>
              </w:rPr>
              <w:t>Alcanzado</w:t>
            </w:r>
          </w:p>
        </w:tc>
        <w:tc>
          <w:tcPr>
            <w:tcW w:w="1426" w:type="dxa"/>
          </w:tcPr>
          <w:p w14:paraId="41BFFC2D" w14:textId="77777777" w:rsidR="00867AC0" w:rsidRPr="00FD5E6E"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6"/>
                <w:szCs w:val="16"/>
              </w:rPr>
            </w:pPr>
            <w:r w:rsidRPr="00FD5E6E">
              <w:rPr>
                <w:rFonts w:ascii="Arial" w:hAnsi="Arial" w:cs="Arial"/>
                <w:b w:val="0"/>
                <w:bCs w:val="0"/>
                <w:sz w:val="16"/>
                <w:szCs w:val="16"/>
              </w:rPr>
              <w:t>Porcentaje Alcanzado</w:t>
            </w:r>
          </w:p>
        </w:tc>
      </w:tr>
      <w:tr w:rsidR="007920EE" w:rsidRPr="00FD5E6E" w14:paraId="30EEE612" w14:textId="77777777" w:rsidTr="006044A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501" w:type="dxa"/>
            <w:vMerge w:val="restart"/>
          </w:tcPr>
          <w:p w14:paraId="39F59DD6" w14:textId="77777777" w:rsidR="007920EE" w:rsidRDefault="007920EE" w:rsidP="008E578F">
            <w:pPr>
              <w:jc w:val="center"/>
              <w:rPr>
                <w:rFonts w:ascii="Arial" w:hAnsi="Arial" w:cs="Arial"/>
                <w:b w:val="0"/>
                <w:sz w:val="16"/>
                <w:szCs w:val="16"/>
                <w:lang w:val="es-ES_tradnl"/>
              </w:rPr>
            </w:pPr>
          </w:p>
          <w:p w14:paraId="1EB4E466" w14:textId="77777777" w:rsidR="007920EE" w:rsidRDefault="007920EE" w:rsidP="008E578F">
            <w:pPr>
              <w:jc w:val="center"/>
              <w:rPr>
                <w:rFonts w:ascii="Arial" w:hAnsi="Arial" w:cs="Arial"/>
                <w:b w:val="0"/>
                <w:sz w:val="16"/>
                <w:szCs w:val="16"/>
                <w:lang w:val="es-ES_tradnl"/>
              </w:rPr>
            </w:pPr>
          </w:p>
          <w:p w14:paraId="1CAAE5BD" w14:textId="77777777" w:rsidR="007920EE" w:rsidRDefault="007920EE" w:rsidP="008E578F">
            <w:pPr>
              <w:jc w:val="center"/>
              <w:rPr>
                <w:rFonts w:ascii="Arial" w:hAnsi="Arial" w:cs="Arial"/>
                <w:b w:val="0"/>
                <w:sz w:val="16"/>
                <w:szCs w:val="16"/>
                <w:lang w:val="es-ES_tradnl"/>
              </w:rPr>
            </w:pPr>
          </w:p>
          <w:p w14:paraId="633C3E7A" w14:textId="77777777" w:rsidR="007920EE" w:rsidRDefault="007920EE" w:rsidP="008E578F">
            <w:pPr>
              <w:jc w:val="center"/>
              <w:rPr>
                <w:rFonts w:ascii="Arial" w:hAnsi="Arial" w:cs="Arial"/>
                <w:b w:val="0"/>
                <w:sz w:val="16"/>
                <w:szCs w:val="16"/>
                <w:lang w:val="es-ES_tradnl"/>
              </w:rPr>
            </w:pPr>
          </w:p>
          <w:p w14:paraId="1935BEB7" w14:textId="77777777" w:rsidR="007920EE" w:rsidRDefault="007920EE" w:rsidP="008E578F">
            <w:pPr>
              <w:jc w:val="center"/>
              <w:rPr>
                <w:rFonts w:ascii="Arial" w:hAnsi="Arial" w:cs="Arial"/>
                <w:b w:val="0"/>
                <w:sz w:val="16"/>
                <w:szCs w:val="16"/>
                <w:lang w:val="es-ES_tradnl"/>
              </w:rPr>
            </w:pPr>
          </w:p>
          <w:p w14:paraId="3DE237A4" w14:textId="77777777" w:rsidR="007920EE" w:rsidRDefault="007920EE" w:rsidP="008E578F">
            <w:pPr>
              <w:jc w:val="center"/>
              <w:rPr>
                <w:rFonts w:ascii="Arial" w:hAnsi="Arial" w:cs="Arial"/>
                <w:b w:val="0"/>
                <w:sz w:val="16"/>
                <w:szCs w:val="16"/>
                <w:lang w:val="es-ES_tradnl"/>
              </w:rPr>
            </w:pPr>
          </w:p>
          <w:p w14:paraId="2A7D5B28" w14:textId="77777777" w:rsidR="007920EE" w:rsidRDefault="007920EE" w:rsidP="008E578F">
            <w:pPr>
              <w:jc w:val="center"/>
              <w:rPr>
                <w:rFonts w:ascii="Arial" w:hAnsi="Arial" w:cs="Arial"/>
                <w:b w:val="0"/>
                <w:sz w:val="16"/>
                <w:szCs w:val="16"/>
                <w:lang w:val="es-ES_tradnl"/>
              </w:rPr>
            </w:pPr>
            <w:r>
              <w:rPr>
                <w:rFonts w:ascii="Arial" w:hAnsi="Arial" w:cs="Arial"/>
                <w:b w:val="0"/>
                <w:sz w:val="16"/>
                <w:szCs w:val="16"/>
                <w:lang w:val="es-ES_tradnl"/>
              </w:rPr>
              <w:t>049</w:t>
            </w:r>
          </w:p>
          <w:p w14:paraId="261ED96F" w14:textId="77777777" w:rsidR="007920EE" w:rsidRPr="00FD5E6E" w:rsidRDefault="007920EE" w:rsidP="008E578F">
            <w:pPr>
              <w:jc w:val="center"/>
              <w:rPr>
                <w:rFonts w:ascii="Arial" w:hAnsi="Arial" w:cs="Arial"/>
                <w:b w:val="0"/>
                <w:sz w:val="16"/>
                <w:szCs w:val="16"/>
                <w:lang w:val="es-ES_tradnl"/>
              </w:rPr>
            </w:pPr>
            <w:r>
              <w:rPr>
                <w:rFonts w:ascii="Arial" w:hAnsi="Arial" w:cs="Arial"/>
                <w:b w:val="0"/>
                <w:sz w:val="16"/>
                <w:szCs w:val="16"/>
                <w:lang w:val="es-ES_tradnl"/>
              </w:rPr>
              <w:t>DINADECO</w:t>
            </w:r>
          </w:p>
        </w:tc>
        <w:tc>
          <w:tcPr>
            <w:tcW w:w="1431" w:type="dxa"/>
            <w:vMerge w:val="restart"/>
          </w:tcPr>
          <w:p w14:paraId="0888513E" w14:textId="77777777" w:rsid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70A169CC" w14:textId="77777777" w:rsid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7B64B2BD" w14:textId="77777777" w:rsid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6129F1C5" w14:textId="77777777" w:rsid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212D0F2D" w14:textId="77777777" w:rsid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58ABE772"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sidRPr="001D5A73">
              <w:rPr>
                <w:rFonts w:ascii="Arial" w:hAnsi="Arial" w:cs="Arial"/>
                <w:sz w:val="16"/>
                <w:szCs w:val="16"/>
                <w:lang w:val="es-ES_tradnl"/>
              </w:rPr>
              <w:t>Aprobación y seguimiento de proyectos a ser financiados</w:t>
            </w:r>
          </w:p>
        </w:tc>
        <w:tc>
          <w:tcPr>
            <w:tcW w:w="2133" w:type="dxa"/>
            <w:vMerge w:val="restart"/>
          </w:tcPr>
          <w:p w14:paraId="55DADFCC"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1125" w:type="dxa"/>
          </w:tcPr>
          <w:p w14:paraId="48C877B7"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13</w:t>
            </w:r>
          </w:p>
        </w:tc>
        <w:tc>
          <w:tcPr>
            <w:tcW w:w="964" w:type="dxa"/>
          </w:tcPr>
          <w:p w14:paraId="4DA582D1"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7</w:t>
            </w:r>
          </w:p>
        </w:tc>
        <w:tc>
          <w:tcPr>
            <w:tcW w:w="1426" w:type="dxa"/>
          </w:tcPr>
          <w:p w14:paraId="619875DF"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54</w:t>
            </w:r>
            <w:r w:rsidRPr="00FD5E6E">
              <w:rPr>
                <w:rFonts w:ascii="Arial" w:hAnsi="Arial" w:cs="Arial"/>
                <w:sz w:val="16"/>
                <w:szCs w:val="16"/>
                <w:lang w:val="es-ES_tradnl"/>
              </w:rPr>
              <w:t>%</w:t>
            </w:r>
          </w:p>
        </w:tc>
      </w:tr>
      <w:tr w:rsidR="007920EE" w:rsidRPr="00FD5E6E" w14:paraId="77E9234B" w14:textId="77777777" w:rsidTr="006044A0">
        <w:trPr>
          <w:trHeight w:val="833"/>
        </w:trPr>
        <w:tc>
          <w:tcPr>
            <w:cnfStyle w:val="001000000000" w:firstRow="0" w:lastRow="0" w:firstColumn="1" w:lastColumn="0" w:oddVBand="0" w:evenVBand="0" w:oddHBand="0" w:evenHBand="0" w:firstRowFirstColumn="0" w:firstRowLastColumn="0" w:lastRowFirstColumn="0" w:lastRowLastColumn="0"/>
            <w:tcW w:w="1501" w:type="dxa"/>
            <w:vMerge/>
          </w:tcPr>
          <w:p w14:paraId="57FD1642" w14:textId="77777777" w:rsidR="007920EE" w:rsidRDefault="007920EE" w:rsidP="008E578F">
            <w:pPr>
              <w:jc w:val="center"/>
              <w:rPr>
                <w:rFonts w:ascii="Arial" w:hAnsi="Arial" w:cs="Arial"/>
                <w:b w:val="0"/>
                <w:sz w:val="16"/>
                <w:szCs w:val="16"/>
                <w:lang w:val="es-ES_tradnl"/>
              </w:rPr>
            </w:pPr>
          </w:p>
        </w:tc>
        <w:tc>
          <w:tcPr>
            <w:tcW w:w="1431" w:type="dxa"/>
            <w:vMerge/>
          </w:tcPr>
          <w:p w14:paraId="234BB406"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p>
        </w:tc>
        <w:tc>
          <w:tcPr>
            <w:tcW w:w="2133" w:type="dxa"/>
            <w:vMerge/>
          </w:tcPr>
          <w:p w14:paraId="2A46200D"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p>
        </w:tc>
        <w:tc>
          <w:tcPr>
            <w:tcW w:w="1125" w:type="dxa"/>
          </w:tcPr>
          <w:p w14:paraId="5F484C57"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1</w:t>
            </w:r>
          </w:p>
        </w:tc>
        <w:tc>
          <w:tcPr>
            <w:tcW w:w="964" w:type="dxa"/>
          </w:tcPr>
          <w:p w14:paraId="73A59997"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1</w:t>
            </w:r>
          </w:p>
        </w:tc>
        <w:tc>
          <w:tcPr>
            <w:tcW w:w="1426" w:type="dxa"/>
          </w:tcPr>
          <w:p w14:paraId="33023CF4"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100%</w:t>
            </w:r>
          </w:p>
        </w:tc>
      </w:tr>
      <w:tr w:rsidR="007920EE" w:rsidRPr="00FD5E6E" w14:paraId="2019D467" w14:textId="77777777" w:rsidTr="006044A0">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501" w:type="dxa"/>
            <w:vMerge/>
          </w:tcPr>
          <w:p w14:paraId="45FBFF76" w14:textId="77777777" w:rsidR="007920EE" w:rsidRDefault="007920EE" w:rsidP="008E578F">
            <w:pPr>
              <w:jc w:val="center"/>
              <w:rPr>
                <w:rFonts w:ascii="Arial" w:hAnsi="Arial" w:cs="Arial"/>
                <w:b w:val="0"/>
                <w:sz w:val="16"/>
                <w:szCs w:val="16"/>
                <w:lang w:val="es-ES_tradnl"/>
              </w:rPr>
            </w:pPr>
          </w:p>
        </w:tc>
        <w:tc>
          <w:tcPr>
            <w:tcW w:w="1431" w:type="dxa"/>
            <w:vMerge/>
          </w:tcPr>
          <w:p w14:paraId="6F843E96"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2133" w:type="dxa"/>
            <w:vMerge/>
          </w:tcPr>
          <w:p w14:paraId="3F61EFD6"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1125" w:type="dxa"/>
          </w:tcPr>
          <w:p w14:paraId="2B3ABB96"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25</w:t>
            </w:r>
          </w:p>
        </w:tc>
        <w:tc>
          <w:tcPr>
            <w:tcW w:w="964" w:type="dxa"/>
          </w:tcPr>
          <w:p w14:paraId="073B30FA"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6</w:t>
            </w:r>
          </w:p>
        </w:tc>
        <w:tc>
          <w:tcPr>
            <w:tcW w:w="1426" w:type="dxa"/>
          </w:tcPr>
          <w:p w14:paraId="04D2A53D"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24</w:t>
            </w:r>
          </w:p>
        </w:tc>
      </w:tr>
      <w:tr w:rsidR="007920EE" w:rsidRPr="00FD5E6E" w14:paraId="6617DC93" w14:textId="77777777" w:rsidTr="006044A0">
        <w:trPr>
          <w:trHeight w:val="833"/>
        </w:trPr>
        <w:tc>
          <w:tcPr>
            <w:cnfStyle w:val="001000000000" w:firstRow="0" w:lastRow="0" w:firstColumn="1" w:lastColumn="0" w:oddVBand="0" w:evenVBand="0" w:oddHBand="0" w:evenHBand="0" w:firstRowFirstColumn="0" w:firstRowLastColumn="0" w:lastRowFirstColumn="0" w:lastRowLastColumn="0"/>
            <w:tcW w:w="1501" w:type="dxa"/>
            <w:vMerge/>
          </w:tcPr>
          <w:p w14:paraId="19F63296" w14:textId="77777777" w:rsidR="007920EE" w:rsidRDefault="007920EE" w:rsidP="008E578F">
            <w:pPr>
              <w:jc w:val="center"/>
              <w:rPr>
                <w:rFonts w:ascii="Arial" w:hAnsi="Arial" w:cs="Arial"/>
                <w:b w:val="0"/>
                <w:sz w:val="16"/>
                <w:szCs w:val="16"/>
                <w:lang w:val="es-ES_tradnl"/>
              </w:rPr>
            </w:pPr>
          </w:p>
        </w:tc>
        <w:tc>
          <w:tcPr>
            <w:tcW w:w="1431" w:type="dxa"/>
            <w:vMerge/>
          </w:tcPr>
          <w:p w14:paraId="14FF5CB1"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p>
        </w:tc>
        <w:tc>
          <w:tcPr>
            <w:tcW w:w="2133" w:type="dxa"/>
            <w:vMerge/>
          </w:tcPr>
          <w:p w14:paraId="2393AE9F"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p>
        </w:tc>
        <w:tc>
          <w:tcPr>
            <w:tcW w:w="1125" w:type="dxa"/>
          </w:tcPr>
          <w:p w14:paraId="739EC5B4"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85</w:t>
            </w:r>
          </w:p>
        </w:tc>
        <w:tc>
          <w:tcPr>
            <w:tcW w:w="964" w:type="dxa"/>
          </w:tcPr>
          <w:p w14:paraId="2D137038"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47</w:t>
            </w:r>
          </w:p>
        </w:tc>
        <w:tc>
          <w:tcPr>
            <w:tcW w:w="1426" w:type="dxa"/>
          </w:tcPr>
          <w:p w14:paraId="5DC4E87D" w14:textId="77777777" w:rsidR="007920EE" w:rsidRPr="00FD5E6E" w:rsidRDefault="007920EE"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r>
              <w:rPr>
                <w:rFonts w:ascii="Arial" w:hAnsi="Arial" w:cs="Arial"/>
                <w:sz w:val="16"/>
                <w:szCs w:val="16"/>
                <w:lang w:val="es-ES_tradnl"/>
              </w:rPr>
              <w:t>55</w:t>
            </w:r>
          </w:p>
        </w:tc>
      </w:tr>
      <w:tr w:rsidR="007920EE" w:rsidRPr="00FD5E6E" w14:paraId="539EFF59" w14:textId="77777777" w:rsidTr="006044A0">
        <w:trPr>
          <w:cnfStyle w:val="000000100000" w:firstRow="0" w:lastRow="0" w:firstColumn="0" w:lastColumn="0" w:oddVBand="0" w:evenVBand="0" w:oddHBand="1"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1" w:type="dxa"/>
            <w:vMerge/>
            <w:shd w:val="clear" w:color="auto" w:fill="auto"/>
          </w:tcPr>
          <w:p w14:paraId="3C75D316" w14:textId="77777777" w:rsidR="007920EE" w:rsidRPr="00FD5E6E" w:rsidRDefault="007920EE" w:rsidP="008E578F">
            <w:pPr>
              <w:jc w:val="center"/>
              <w:rPr>
                <w:rFonts w:ascii="Arial" w:hAnsi="Arial" w:cs="Arial"/>
                <w:sz w:val="16"/>
                <w:szCs w:val="16"/>
              </w:rPr>
            </w:pPr>
          </w:p>
        </w:tc>
        <w:tc>
          <w:tcPr>
            <w:tcW w:w="1431" w:type="dxa"/>
            <w:shd w:val="clear" w:color="auto" w:fill="auto"/>
          </w:tcPr>
          <w:p w14:paraId="0F2FCB1C" w14:textId="77777777" w:rsidR="007920EE" w:rsidRP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920EE">
              <w:rPr>
                <w:rFonts w:ascii="Arial" w:hAnsi="Arial" w:cs="Arial"/>
                <w:bCs/>
                <w:sz w:val="16"/>
                <w:szCs w:val="16"/>
                <w:lang w:val="es-ES_tradnl"/>
              </w:rPr>
              <w:t>Capacitaciones</w:t>
            </w:r>
          </w:p>
        </w:tc>
        <w:tc>
          <w:tcPr>
            <w:tcW w:w="2133" w:type="dxa"/>
            <w:shd w:val="clear" w:color="auto" w:fill="auto"/>
          </w:tcPr>
          <w:p w14:paraId="378FBC07" w14:textId="77777777" w:rsidR="007920EE" w:rsidRPr="007920E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920EE">
              <w:rPr>
                <w:rFonts w:ascii="Arial" w:hAnsi="Arial" w:cs="Arial"/>
                <w:bCs/>
                <w:sz w:val="16"/>
                <w:szCs w:val="16"/>
                <w:lang w:val="es-ES_tradnl"/>
              </w:rPr>
              <w:t>Uniones</w:t>
            </w:r>
            <w:r w:rsidRPr="007920EE">
              <w:rPr>
                <w:rFonts w:ascii="Arial" w:hAnsi="Arial" w:cs="Arial"/>
                <w:sz w:val="16"/>
                <w:szCs w:val="16"/>
              </w:rPr>
              <w:t xml:space="preserve"> </w:t>
            </w:r>
            <w:r w:rsidR="00F3426C">
              <w:rPr>
                <w:rFonts w:ascii="Arial" w:hAnsi="Arial" w:cs="Arial"/>
                <w:bCs/>
                <w:sz w:val="16"/>
                <w:szCs w:val="16"/>
                <w:lang w:val="es-ES_tradnl"/>
              </w:rPr>
              <w:t>C</w:t>
            </w:r>
            <w:r w:rsidRPr="007920EE">
              <w:rPr>
                <w:rFonts w:ascii="Arial" w:hAnsi="Arial" w:cs="Arial"/>
                <w:bCs/>
                <w:sz w:val="16"/>
                <w:szCs w:val="16"/>
                <w:lang w:val="es-ES_tradnl"/>
              </w:rPr>
              <w:t>antonales</w:t>
            </w:r>
          </w:p>
        </w:tc>
        <w:tc>
          <w:tcPr>
            <w:tcW w:w="1125" w:type="dxa"/>
            <w:shd w:val="clear" w:color="auto" w:fill="auto"/>
          </w:tcPr>
          <w:p w14:paraId="202D1DA1" w14:textId="77777777" w:rsidR="007920EE" w:rsidRPr="00FD5E6E" w:rsidRDefault="007920EE" w:rsidP="001D5A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964" w:type="dxa"/>
            <w:shd w:val="clear" w:color="auto" w:fill="auto"/>
          </w:tcPr>
          <w:p w14:paraId="7DD66F18" w14:textId="77777777" w:rsidR="007920EE" w:rsidRPr="00FD5E6E" w:rsidRDefault="007920EE"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1426" w:type="dxa"/>
            <w:shd w:val="clear" w:color="auto" w:fill="auto"/>
          </w:tcPr>
          <w:p w14:paraId="2670E21B" w14:textId="77777777" w:rsidR="007920EE" w:rsidRPr="00FD5E6E" w:rsidRDefault="007920EE" w:rsidP="001D5A7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r>
    </w:tbl>
    <w:p w14:paraId="15B6D57F" w14:textId="77777777" w:rsidR="007920EE" w:rsidRPr="007920EE" w:rsidRDefault="007920EE" w:rsidP="007920EE">
      <w:pPr>
        <w:spacing w:line="360" w:lineRule="auto"/>
        <w:ind w:left="-142"/>
        <w:jc w:val="both"/>
        <w:rPr>
          <w:rFonts w:ascii="Arial" w:hAnsi="Arial" w:cs="Arial"/>
          <w:sz w:val="14"/>
          <w:szCs w:val="14"/>
          <w:lang w:val="es-ES_tradnl"/>
        </w:rPr>
      </w:pPr>
      <w:r w:rsidRPr="007920EE">
        <w:rPr>
          <w:rFonts w:ascii="Arial" w:hAnsi="Arial" w:cs="Arial"/>
          <w:b/>
          <w:sz w:val="14"/>
          <w:szCs w:val="14"/>
          <w:lang w:val="es-ES_tradnl"/>
        </w:rPr>
        <w:t>Fuente</w:t>
      </w:r>
      <w:r w:rsidRPr="007920EE">
        <w:rPr>
          <w:rFonts w:ascii="Arial" w:hAnsi="Arial" w:cs="Arial"/>
          <w:sz w:val="14"/>
          <w:szCs w:val="14"/>
          <w:lang w:val="es-ES_tradnl"/>
        </w:rPr>
        <w:t xml:space="preserve">: Dirección Técnica Operativa y Planificación Institucional.  </w:t>
      </w:r>
    </w:p>
    <w:p w14:paraId="22292CA6" w14:textId="77777777" w:rsidR="001D5A73" w:rsidRPr="005D5996" w:rsidRDefault="007920EE" w:rsidP="007920EE">
      <w:pPr>
        <w:spacing w:line="360" w:lineRule="auto"/>
        <w:ind w:left="-142"/>
        <w:jc w:val="both"/>
        <w:rPr>
          <w:rFonts w:ascii="Arial" w:hAnsi="Arial" w:cs="Arial"/>
          <w:sz w:val="14"/>
          <w:szCs w:val="14"/>
          <w:lang w:val="es-ES_tradnl"/>
        </w:rPr>
      </w:pPr>
      <w:r w:rsidRPr="007920EE">
        <w:rPr>
          <w:rFonts w:ascii="Arial" w:hAnsi="Arial" w:cs="Arial"/>
          <w:sz w:val="14"/>
          <w:szCs w:val="14"/>
          <w:lang w:val="es-ES_tradnl"/>
        </w:rPr>
        <w:t xml:space="preserve">1 Unidad de medida </w:t>
      </w:r>
      <w:r w:rsidR="002E5E5F">
        <w:rPr>
          <w:rFonts w:ascii="Arial" w:hAnsi="Arial" w:cs="Arial"/>
          <w:sz w:val="14"/>
          <w:szCs w:val="14"/>
          <w:lang w:val="es-ES_tradnl"/>
        </w:rPr>
        <w:t xml:space="preserve">del producto “Aprobación y seguimiento de proyectos a ser financiados” </w:t>
      </w:r>
      <w:r w:rsidRPr="007920EE">
        <w:rPr>
          <w:rFonts w:ascii="Arial" w:hAnsi="Arial" w:cs="Arial"/>
          <w:sz w:val="14"/>
          <w:szCs w:val="14"/>
          <w:lang w:val="es-ES_tradnl"/>
        </w:rPr>
        <w:t>no se cuantifica porque no se puede predecir el total de proyectos que DINADECO aprobará por año, ni cuales comuni</w:t>
      </w:r>
      <w:r>
        <w:rPr>
          <w:rFonts w:ascii="Arial" w:hAnsi="Arial" w:cs="Arial"/>
          <w:sz w:val="14"/>
          <w:szCs w:val="14"/>
          <w:lang w:val="es-ES_tradnl"/>
        </w:rPr>
        <w:t>da</w:t>
      </w:r>
      <w:r w:rsidRPr="007920EE">
        <w:rPr>
          <w:rFonts w:ascii="Arial" w:hAnsi="Arial" w:cs="Arial"/>
          <w:sz w:val="14"/>
          <w:szCs w:val="14"/>
          <w:lang w:val="es-ES_tradnl"/>
        </w:rPr>
        <w:t>des en particular van a demandar proyectos.</w:t>
      </w:r>
    </w:p>
    <w:p w14:paraId="20A2A909" w14:textId="77777777" w:rsidR="00867AC0" w:rsidRDefault="00867AC0" w:rsidP="00867AC0">
      <w:pPr>
        <w:spacing w:line="360" w:lineRule="auto"/>
        <w:contextualSpacing/>
        <w:jc w:val="both"/>
        <w:rPr>
          <w:rFonts w:ascii="Arial" w:hAnsi="Arial" w:cs="Arial"/>
          <w:sz w:val="20"/>
          <w:szCs w:val="20"/>
          <w:lang w:val="es-MX"/>
        </w:rPr>
      </w:pPr>
    </w:p>
    <w:p w14:paraId="1B3B71BF" w14:textId="7475EF76" w:rsidR="00693DDD" w:rsidRDefault="00693DDD" w:rsidP="00384757">
      <w:pPr>
        <w:rPr>
          <w:rFonts w:ascii="Arial" w:hAnsi="Arial" w:cs="Arial"/>
          <w:sz w:val="20"/>
          <w:szCs w:val="20"/>
          <w:lang w:val="es-ES_tradnl"/>
        </w:rPr>
      </w:pPr>
    </w:p>
    <w:p w14:paraId="52877E0F" w14:textId="77777777" w:rsidR="00867AC0" w:rsidRDefault="00867AC0" w:rsidP="00867AC0">
      <w:pPr>
        <w:jc w:val="center"/>
        <w:rPr>
          <w:rFonts w:ascii="Arial" w:hAnsi="Arial" w:cs="Arial"/>
          <w:b/>
          <w:sz w:val="20"/>
          <w:szCs w:val="20"/>
          <w:lang w:val="es-ES_tradnl"/>
        </w:rPr>
      </w:pPr>
    </w:p>
    <w:p w14:paraId="32FBDED7" w14:textId="77777777" w:rsidR="00285977" w:rsidRPr="00285977" w:rsidRDefault="00285977" w:rsidP="00285977">
      <w:pPr>
        <w:jc w:val="center"/>
        <w:rPr>
          <w:rFonts w:ascii="Arial" w:hAnsi="Arial" w:cs="Arial"/>
          <w:b/>
          <w:sz w:val="20"/>
          <w:szCs w:val="20"/>
          <w:lang w:val="es-ES_tradnl"/>
        </w:rPr>
      </w:pPr>
      <w:r w:rsidRPr="00285977">
        <w:rPr>
          <w:rFonts w:ascii="Arial" w:hAnsi="Arial" w:cs="Arial"/>
          <w:b/>
          <w:sz w:val="20"/>
          <w:szCs w:val="20"/>
          <w:lang w:val="es-ES_tradnl"/>
        </w:rPr>
        <w:t>Cuadro 4</w:t>
      </w:r>
    </w:p>
    <w:p w14:paraId="03A0AC56" w14:textId="77777777" w:rsidR="00285977" w:rsidRPr="00285977" w:rsidRDefault="00285977" w:rsidP="00285977">
      <w:pPr>
        <w:jc w:val="center"/>
        <w:rPr>
          <w:rFonts w:ascii="Arial" w:hAnsi="Arial" w:cs="Arial"/>
          <w:b/>
          <w:sz w:val="20"/>
          <w:szCs w:val="20"/>
          <w:lang w:val="es-ES_tradnl"/>
        </w:rPr>
      </w:pPr>
      <w:r w:rsidRPr="00285977">
        <w:rPr>
          <w:rFonts w:ascii="Arial" w:hAnsi="Arial" w:cs="Arial"/>
          <w:b/>
          <w:sz w:val="20"/>
          <w:szCs w:val="20"/>
          <w:lang w:val="es-ES_tradnl"/>
        </w:rPr>
        <w:t>INSTITUCIÓN DINADECO</w:t>
      </w:r>
    </w:p>
    <w:p w14:paraId="460004A2" w14:textId="77777777" w:rsidR="00285977" w:rsidRPr="00285977" w:rsidRDefault="00285977" w:rsidP="00285977">
      <w:pPr>
        <w:jc w:val="center"/>
        <w:rPr>
          <w:rFonts w:ascii="Arial" w:hAnsi="Arial" w:cs="Arial"/>
          <w:b/>
          <w:sz w:val="20"/>
          <w:szCs w:val="20"/>
          <w:lang w:val="es-ES_tradnl"/>
        </w:rPr>
      </w:pPr>
      <w:r w:rsidRPr="00285977">
        <w:rPr>
          <w:rFonts w:ascii="Arial" w:hAnsi="Arial" w:cs="Arial"/>
          <w:b/>
          <w:sz w:val="20"/>
          <w:szCs w:val="20"/>
          <w:lang w:val="es-ES_tradnl"/>
        </w:rPr>
        <w:t>Programa 049 Desarrollo de la Comunidad</w:t>
      </w:r>
    </w:p>
    <w:p w14:paraId="09BE86D5" w14:textId="77777777" w:rsidR="00285977" w:rsidRDefault="00285977" w:rsidP="00285977">
      <w:pPr>
        <w:jc w:val="center"/>
        <w:rPr>
          <w:rFonts w:ascii="Arial" w:hAnsi="Arial" w:cs="Arial"/>
          <w:b/>
          <w:sz w:val="20"/>
          <w:szCs w:val="20"/>
          <w:lang w:val="es-ES_tradnl"/>
        </w:rPr>
      </w:pPr>
      <w:r w:rsidRPr="00285977">
        <w:rPr>
          <w:rFonts w:ascii="Arial" w:hAnsi="Arial" w:cs="Arial"/>
          <w:b/>
          <w:sz w:val="20"/>
          <w:szCs w:val="20"/>
          <w:lang w:val="es-ES_tradnl"/>
        </w:rPr>
        <w:t>Cumplimiento de Indicadores de Producto</w:t>
      </w:r>
    </w:p>
    <w:p w14:paraId="6D4753E5" w14:textId="77777777" w:rsidR="00867AC0" w:rsidRDefault="00285977" w:rsidP="00285977">
      <w:pPr>
        <w:jc w:val="center"/>
        <w:rPr>
          <w:rFonts w:ascii="Arial" w:hAnsi="Arial" w:cs="Arial"/>
          <w:sz w:val="20"/>
          <w:szCs w:val="20"/>
          <w:lang w:val="es-ES_tradnl"/>
        </w:rPr>
      </w:pPr>
      <w:r w:rsidRPr="00285977">
        <w:rPr>
          <w:rFonts w:ascii="Arial" w:hAnsi="Arial" w:cs="Arial"/>
          <w:b/>
          <w:sz w:val="20"/>
          <w:szCs w:val="20"/>
          <w:lang w:val="es-ES_tradnl"/>
        </w:rPr>
        <w:t>al 31 de diciembre de 2018</w:t>
      </w:r>
    </w:p>
    <w:tbl>
      <w:tblPr>
        <w:tblStyle w:val="Listaclara-nfasis5"/>
        <w:tblW w:w="8772" w:type="dxa"/>
        <w:jc w:val="center"/>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1212"/>
        <w:gridCol w:w="1447"/>
        <w:gridCol w:w="2009"/>
        <w:gridCol w:w="709"/>
        <w:gridCol w:w="817"/>
        <w:gridCol w:w="919"/>
        <w:gridCol w:w="1659"/>
      </w:tblGrid>
      <w:tr w:rsidR="00867AC0" w:rsidRPr="00943763" w14:paraId="0346935C" w14:textId="77777777" w:rsidTr="0028597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12" w:type="dxa"/>
          </w:tcPr>
          <w:p w14:paraId="646A7312" w14:textId="77777777" w:rsidR="00867AC0" w:rsidRPr="00DE06A9" w:rsidRDefault="00867AC0" w:rsidP="008E578F">
            <w:pPr>
              <w:jc w:val="center"/>
              <w:rPr>
                <w:rFonts w:ascii="Calibri" w:hAnsi="Calibri"/>
                <w:b w:val="0"/>
                <w:sz w:val="16"/>
              </w:rPr>
            </w:pPr>
            <w:r w:rsidRPr="00427986">
              <w:rPr>
                <w:rFonts w:ascii="Calibri" w:hAnsi="Calibri"/>
                <w:b w:val="0"/>
                <w:bCs w:val="0"/>
                <w:sz w:val="16"/>
              </w:rPr>
              <w:t>Programa o Subprograma</w:t>
            </w:r>
          </w:p>
        </w:tc>
        <w:tc>
          <w:tcPr>
            <w:tcW w:w="1447" w:type="dxa"/>
          </w:tcPr>
          <w:p w14:paraId="62CD758B"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Pr>
                <w:rFonts w:ascii="Calibri" w:hAnsi="Calibri"/>
                <w:b w:val="0"/>
                <w:bCs w:val="0"/>
                <w:sz w:val="16"/>
              </w:rPr>
              <w:t xml:space="preserve">Nombre del </w:t>
            </w:r>
            <w:r w:rsidRPr="00DE06A9">
              <w:rPr>
                <w:rFonts w:ascii="Calibri" w:hAnsi="Calibri"/>
                <w:b w:val="0"/>
                <w:bCs w:val="0"/>
                <w:sz w:val="16"/>
              </w:rPr>
              <w:t>Producto</w:t>
            </w:r>
          </w:p>
        </w:tc>
        <w:tc>
          <w:tcPr>
            <w:tcW w:w="2009" w:type="dxa"/>
          </w:tcPr>
          <w:p w14:paraId="7F2346EF"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Pr>
                <w:rFonts w:ascii="Calibri" w:hAnsi="Calibri"/>
                <w:b w:val="0"/>
                <w:bCs w:val="0"/>
                <w:sz w:val="16"/>
              </w:rPr>
              <w:t xml:space="preserve">Nombre del </w:t>
            </w:r>
            <w:r w:rsidRPr="00DE06A9">
              <w:rPr>
                <w:rFonts w:ascii="Calibri" w:hAnsi="Calibri"/>
                <w:b w:val="0"/>
                <w:bCs w:val="0"/>
                <w:sz w:val="16"/>
              </w:rPr>
              <w:t>Indicador</w:t>
            </w:r>
          </w:p>
        </w:tc>
        <w:tc>
          <w:tcPr>
            <w:tcW w:w="709" w:type="dxa"/>
          </w:tcPr>
          <w:p w14:paraId="07653F2E"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sidRPr="00DE06A9">
              <w:rPr>
                <w:rFonts w:ascii="Calibri" w:hAnsi="Calibri"/>
                <w:b w:val="0"/>
                <w:bCs w:val="0"/>
                <w:sz w:val="16"/>
              </w:rPr>
              <w:t>Programado</w:t>
            </w:r>
          </w:p>
        </w:tc>
        <w:tc>
          <w:tcPr>
            <w:tcW w:w="817" w:type="dxa"/>
          </w:tcPr>
          <w:p w14:paraId="52358108"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sidRPr="00DE06A9">
              <w:rPr>
                <w:rFonts w:ascii="Calibri" w:hAnsi="Calibri"/>
                <w:b w:val="0"/>
                <w:bCs w:val="0"/>
                <w:sz w:val="16"/>
              </w:rPr>
              <w:t>Alcanzado</w:t>
            </w:r>
          </w:p>
        </w:tc>
        <w:tc>
          <w:tcPr>
            <w:tcW w:w="919" w:type="dxa"/>
          </w:tcPr>
          <w:p w14:paraId="69A3E805"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sidRPr="00DE06A9">
              <w:rPr>
                <w:rFonts w:ascii="Calibri" w:hAnsi="Calibri"/>
                <w:b w:val="0"/>
                <w:bCs w:val="0"/>
                <w:sz w:val="16"/>
              </w:rPr>
              <w:t>Porcentaje Alcanzado</w:t>
            </w:r>
          </w:p>
        </w:tc>
        <w:tc>
          <w:tcPr>
            <w:tcW w:w="1659" w:type="dxa"/>
          </w:tcPr>
          <w:p w14:paraId="5008F908" w14:textId="77777777" w:rsidR="00867AC0" w:rsidRPr="00DE06A9" w:rsidRDefault="00867AC0" w:rsidP="008E578F">
            <w:pPr>
              <w:jc w:val="center"/>
              <w:cnfStyle w:val="100000000000" w:firstRow="1" w:lastRow="0" w:firstColumn="0" w:lastColumn="0" w:oddVBand="0" w:evenVBand="0" w:oddHBand="0" w:evenHBand="0" w:firstRowFirstColumn="0" w:firstRowLastColumn="0" w:lastRowFirstColumn="0" w:lastRowLastColumn="0"/>
              <w:rPr>
                <w:rFonts w:ascii="Calibri" w:hAnsi="Calibri"/>
                <w:b w:val="0"/>
                <w:sz w:val="16"/>
              </w:rPr>
            </w:pPr>
            <w:r w:rsidRPr="00DE06A9">
              <w:rPr>
                <w:rFonts w:ascii="Calibri" w:hAnsi="Calibri"/>
                <w:b w:val="0"/>
                <w:bCs w:val="0"/>
                <w:sz w:val="16"/>
              </w:rPr>
              <w:t>Fuente de datos de los indicadores</w:t>
            </w:r>
          </w:p>
        </w:tc>
      </w:tr>
      <w:tr w:rsidR="009A000D" w:rsidRPr="00943763" w14:paraId="1705D86B" w14:textId="77777777" w:rsidTr="00285977">
        <w:trPr>
          <w:cnfStyle w:val="000000100000" w:firstRow="0" w:lastRow="0" w:firstColumn="0" w:lastColumn="0" w:oddVBand="0" w:evenVBand="0" w:oddHBand="1" w:evenHBand="0" w:firstRowFirstColumn="0" w:firstRowLastColumn="0" w:lastRowFirstColumn="0" w:lastRowLastColumn="0"/>
          <w:trHeight w:val="878"/>
          <w:jc w:val="center"/>
        </w:trPr>
        <w:tc>
          <w:tcPr>
            <w:cnfStyle w:val="001000000000" w:firstRow="0" w:lastRow="0" w:firstColumn="1" w:lastColumn="0" w:oddVBand="0" w:evenVBand="0" w:oddHBand="0" w:evenHBand="0" w:firstRowFirstColumn="0" w:firstRowLastColumn="0" w:lastRowFirstColumn="0" w:lastRowLastColumn="0"/>
            <w:tcW w:w="1212" w:type="dxa"/>
            <w:vMerge w:val="restart"/>
          </w:tcPr>
          <w:p w14:paraId="458FCFAB" w14:textId="77777777" w:rsidR="009A000D" w:rsidRDefault="009A000D" w:rsidP="009A000D">
            <w:pPr>
              <w:jc w:val="center"/>
              <w:rPr>
                <w:rFonts w:ascii="Arial" w:hAnsi="Arial" w:cs="Arial"/>
                <w:b w:val="0"/>
                <w:sz w:val="16"/>
                <w:szCs w:val="16"/>
                <w:lang w:val="es-ES_tradnl"/>
              </w:rPr>
            </w:pPr>
          </w:p>
          <w:p w14:paraId="391EA326" w14:textId="77777777" w:rsidR="009A000D" w:rsidRDefault="009A000D" w:rsidP="009A000D">
            <w:pPr>
              <w:jc w:val="center"/>
              <w:rPr>
                <w:rFonts w:ascii="Arial" w:hAnsi="Arial" w:cs="Arial"/>
                <w:b w:val="0"/>
                <w:sz w:val="16"/>
                <w:szCs w:val="16"/>
                <w:lang w:val="es-ES_tradnl"/>
              </w:rPr>
            </w:pPr>
          </w:p>
          <w:p w14:paraId="6765B2FB" w14:textId="77777777" w:rsidR="009A000D" w:rsidRDefault="009A000D" w:rsidP="009A000D">
            <w:pPr>
              <w:jc w:val="center"/>
              <w:rPr>
                <w:rFonts w:ascii="Arial" w:hAnsi="Arial" w:cs="Arial"/>
                <w:b w:val="0"/>
                <w:sz w:val="16"/>
                <w:szCs w:val="16"/>
                <w:lang w:val="es-ES_tradnl"/>
              </w:rPr>
            </w:pPr>
          </w:p>
          <w:p w14:paraId="439040A4" w14:textId="77777777" w:rsidR="009A000D" w:rsidRDefault="009A000D" w:rsidP="009A000D">
            <w:pPr>
              <w:jc w:val="center"/>
              <w:rPr>
                <w:rFonts w:ascii="Arial" w:hAnsi="Arial" w:cs="Arial"/>
                <w:b w:val="0"/>
                <w:sz w:val="16"/>
                <w:szCs w:val="16"/>
                <w:lang w:val="es-ES_tradnl"/>
              </w:rPr>
            </w:pPr>
          </w:p>
          <w:p w14:paraId="100CBE47" w14:textId="77777777" w:rsidR="009A000D" w:rsidRDefault="009A000D" w:rsidP="009A000D">
            <w:pPr>
              <w:jc w:val="center"/>
              <w:rPr>
                <w:rFonts w:ascii="Arial" w:hAnsi="Arial" w:cs="Arial"/>
                <w:b w:val="0"/>
                <w:sz w:val="16"/>
                <w:szCs w:val="16"/>
                <w:lang w:val="es-ES_tradnl"/>
              </w:rPr>
            </w:pPr>
          </w:p>
          <w:p w14:paraId="53EC7672" w14:textId="77777777" w:rsidR="009A000D" w:rsidRDefault="009A000D" w:rsidP="009A000D">
            <w:pPr>
              <w:jc w:val="center"/>
              <w:rPr>
                <w:rFonts w:ascii="Arial" w:hAnsi="Arial" w:cs="Arial"/>
                <w:b w:val="0"/>
                <w:sz w:val="16"/>
                <w:szCs w:val="16"/>
                <w:lang w:val="es-ES_tradnl"/>
              </w:rPr>
            </w:pPr>
          </w:p>
          <w:p w14:paraId="3188C649" w14:textId="77777777" w:rsidR="009A000D" w:rsidRDefault="009A000D" w:rsidP="009A000D">
            <w:pPr>
              <w:jc w:val="center"/>
              <w:rPr>
                <w:rFonts w:ascii="Arial" w:hAnsi="Arial" w:cs="Arial"/>
                <w:b w:val="0"/>
                <w:sz w:val="16"/>
                <w:szCs w:val="16"/>
                <w:lang w:val="es-ES_tradnl"/>
              </w:rPr>
            </w:pPr>
          </w:p>
          <w:p w14:paraId="672BB44F" w14:textId="77777777" w:rsidR="009A000D" w:rsidRDefault="009A000D" w:rsidP="009A000D">
            <w:pPr>
              <w:jc w:val="center"/>
              <w:rPr>
                <w:rFonts w:ascii="Arial" w:hAnsi="Arial" w:cs="Arial"/>
                <w:b w:val="0"/>
                <w:sz w:val="16"/>
                <w:szCs w:val="16"/>
                <w:lang w:val="es-ES_tradnl"/>
              </w:rPr>
            </w:pPr>
          </w:p>
          <w:p w14:paraId="12B13A15" w14:textId="77777777" w:rsidR="009A000D" w:rsidRDefault="009A000D" w:rsidP="009A000D">
            <w:pPr>
              <w:jc w:val="center"/>
              <w:rPr>
                <w:rFonts w:ascii="Arial" w:hAnsi="Arial" w:cs="Arial"/>
                <w:b w:val="0"/>
                <w:sz w:val="16"/>
                <w:szCs w:val="16"/>
                <w:lang w:val="es-ES_tradnl"/>
              </w:rPr>
            </w:pPr>
          </w:p>
          <w:p w14:paraId="340DE303" w14:textId="77777777" w:rsidR="009A000D" w:rsidRDefault="009A000D" w:rsidP="009A000D">
            <w:pPr>
              <w:jc w:val="center"/>
              <w:rPr>
                <w:rFonts w:ascii="Arial" w:hAnsi="Arial" w:cs="Arial"/>
                <w:b w:val="0"/>
                <w:sz w:val="16"/>
                <w:szCs w:val="16"/>
                <w:lang w:val="es-ES_tradnl"/>
              </w:rPr>
            </w:pPr>
          </w:p>
          <w:p w14:paraId="13CACA73" w14:textId="77777777" w:rsidR="009A000D" w:rsidRDefault="009A000D" w:rsidP="009A000D">
            <w:pPr>
              <w:jc w:val="center"/>
              <w:rPr>
                <w:rFonts w:ascii="Arial" w:hAnsi="Arial" w:cs="Arial"/>
                <w:b w:val="0"/>
                <w:sz w:val="16"/>
                <w:szCs w:val="16"/>
                <w:lang w:val="es-ES_tradnl"/>
              </w:rPr>
            </w:pPr>
          </w:p>
          <w:p w14:paraId="65C567E1" w14:textId="77777777" w:rsidR="009A000D" w:rsidRDefault="009A000D" w:rsidP="009A000D">
            <w:pPr>
              <w:jc w:val="center"/>
              <w:rPr>
                <w:rFonts w:ascii="Arial" w:hAnsi="Arial" w:cs="Arial"/>
                <w:b w:val="0"/>
                <w:sz w:val="16"/>
                <w:szCs w:val="16"/>
                <w:lang w:val="es-ES_tradnl"/>
              </w:rPr>
            </w:pPr>
          </w:p>
          <w:p w14:paraId="612F153A" w14:textId="77777777" w:rsidR="009A000D" w:rsidRDefault="009A000D" w:rsidP="009A000D">
            <w:pPr>
              <w:jc w:val="center"/>
              <w:rPr>
                <w:rFonts w:ascii="Arial" w:hAnsi="Arial" w:cs="Arial"/>
                <w:b w:val="0"/>
                <w:sz w:val="16"/>
                <w:szCs w:val="16"/>
                <w:lang w:val="es-ES_tradnl"/>
              </w:rPr>
            </w:pPr>
            <w:r>
              <w:rPr>
                <w:rFonts w:ascii="Arial" w:hAnsi="Arial" w:cs="Arial"/>
                <w:b w:val="0"/>
                <w:sz w:val="16"/>
                <w:szCs w:val="16"/>
                <w:lang w:val="es-ES_tradnl"/>
              </w:rPr>
              <w:t>049</w:t>
            </w:r>
          </w:p>
          <w:p w14:paraId="664E40E3" w14:textId="77777777" w:rsidR="009A000D" w:rsidRPr="00FD5E6E" w:rsidRDefault="009A000D" w:rsidP="009A000D">
            <w:pPr>
              <w:jc w:val="center"/>
              <w:rPr>
                <w:rFonts w:ascii="Arial" w:hAnsi="Arial" w:cs="Arial"/>
                <w:b w:val="0"/>
                <w:sz w:val="18"/>
                <w:szCs w:val="18"/>
                <w:lang w:val="es-ES_tradnl"/>
              </w:rPr>
            </w:pPr>
            <w:r>
              <w:rPr>
                <w:rFonts w:ascii="Arial" w:hAnsi="Arial" w:cs="Arial"/>
                <w:b w:val="0"/>
                <w:sz w:val="16"/>
                <w:szCs w:val="16"/>
                <w:lang w:val="es-ES_tradnl"/>
              </w:rPr>
              <w:t>DINADECO</w:t>
            </w:r>
          </w:p>
        </w:tc>
        <w:tc>
          <w:tcPr>
            <w:tcW w:w="1447" w:type="dxa"/>
            <w:vMerge w:val="restart"/>
          </w:tcPr>
          <w:p w14:paraId="631C371A"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4C7ADD33"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2084D7EE"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235C763E"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2D30E584"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47E1CD3F"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3C8BD0FD"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5ADD515A"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7786C28F"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07E2D220"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23A3D7F0"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p w14:paraId="5F9FE282"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r w:rsidRPr="001D5A73">
              <w:rPr>
                <w:rFonts w:ascii="Arial" w:hAnsi="Arial" w:cs="Arial"/>
                <w:sz w:val="16"/>
                <w:szCs w:val="16"/>
                <w:lang w:val="es-ES_tradnl"/>
              </w:rPr>
              <w:t>Aprobación y seguimiento de proyectos a ser financiados</w:t>
            </w:r>
          </w:p>
        </w:tc>
        <w:tc>
          <w:tcPr>
            <w:tcW w:w="2009" w:type="dxa"/>
          </w:tcPr>
          <w:p w14:paraId="13C18AA4"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Número de</w:t>
            </w:r>
          </w:p>
          <w:p w14:paraId="02F08142"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proyectos de</w:t>
            </w:r>
          </w:p>
          <w:p w14:paraId="5F9B85FC"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desarrollo</w:t>
            </w:r>
          </w:p>
          <w:p w14:paraId="6C6FF98D"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inclusivo</w:t>
            </w:r>
          </w:p>
          <w:p w14:paraId="1EC5815F"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ejecutados en los</w:t>
            </w:r>
          </w:p>
          <w:p w14:paraId="1A00E9C3" w14:textId="77777777" w:rsidR="009A000D" w:rsidRP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territorios</w:t>
            </w:r>
          </w:p>
          <w:p w14:paraId="3014A5EC" w14:textId="77777777" w:rsidR="009A000D" w:rsidRPr="00FD5E6E" w:rsidRDefault="009A000D" w:rsidP="008C279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priorizados y demás distritos, en los que se beneficien familias en condición de pobreza</w:t>
            </w:r>
          </w:p>
        </w:tc>
        <w:tc>
          <w:tcPr>
            <w:tcW w:w="709" w:type="dxa"/>
          </w:tcPr>
          <w:p w14:paraId="232E1E89" w14:textId="77777777" w:rsidR="009A000D" w:rsidRPr="00FD5E6E" w:rsidRDefault="008C279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13</w:t>
            </w:r>
          </w:p>
        </w:tc>
        <w:tc>
          <w:tcPr>
            <w:tcW w:w="817" w:type="dxa"/>
          </w:tcPr>
          <w:p w14:paraId="3B563268" w14:textId="77777777" w:rsidR="009A000D" w:rsidRPr="00FD5E6E" w:rsidRDefault="008C279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7</w:t>
            </w:r>
          </w:p>
        </w:tc>
        <w:tc>
          <w:tcPr>
            <w:tcW w:w="919" w:type="dxa"/>
          </w:tcPr>
          <w:p w14:paraId="74D881F1" w14:textId="77777777" w:rsidR="009A000D" w:rsidRPr="00FD5E6E" w:rsidRDefault="008C279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54</w:t>
            </w:r>
            <w:r w:rsidR="009A000D" w:rsidRPr="00FD5E6E">
              <w:rPr>
                <w:rFonts w:ascii="Arial" w:hAnsi="Arial" w:cs="Arial"/>
                <w:sz w:val="18"/>
                <w:szCs w:val="18"/>
                <w:lang w:val="es-ES_tradnl"/>
              </w:rPr>
              <w:t>%</w:t>
            </w:r>
          </w:p>
        </w:tc>
        <w:tc>
          <w:tcPr>
            <w:tcW w:w="1659" w:type="dxa"/>
          </w:tcPr>
          <w:p w14:paraId="30FDE34D" w14:textId="77777777" w:rsidR="009A000D" w:rsidRPr="00FD5E6E" w:rsidRDefault="008C279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Dirección Técnica Operativa</w:t>
            </w:r>
          </w:p>
        </w:tc>
      </w:tr>
      <w:tr w:rsidR="009A000D" w:rsidRPr="00943763" w14:paraId="100F0795" w14:textId="77777777" w:rsidTr="00285977">
        <w:trPr>
          <w:trHeight w:val="878"/>
          <w:jc w:val="center"/>
        </w:trPr>
        <w:tc>
          <w:tcPr>
            <w:cnfStyle w:val="001000000000" w:firstRow="0" w:lastRow="0" w:firstColumn="1" w:lastColumn="0" w:oddVBand="0" w:evenVBand="0" w:oddHBand="0" w:evenHBand="0" w:firstRowFirstColumn="0" w:firstRowLastColumn="0" w:lastRowFirstColumn="0" w:lastRowLastColumn="0"/>
            <w:tcW w:w="1212" w:type="dxa"/>
            <w:vMerge/>
          </w:tcPr>
          <w:p w14:paraId="564C335F" w14:textId="77777777" w:rsidR="009A000D" w:rsidRDefault="009A000D" w:rsidP="009A000D">
            <w:pPr>
              <w:jc w:val="center"/>
              <w:rPr>
                <w:rFonts w:ascii="Arial" w:hAnsi="Arial" w:cs="Arial"/>
                <w:b w:val="0"/>
                <w:sz w:val="16"/>
                <w:szCs w:val="16"/>
                <w:lang w:val="es-ES_tradnl"/>
              </w:rPr>
            </w:pPr>
          </w:p>
        </w:tc>
        <w:tc>
          <w:tcPr>
            <w:tcW w:w="1447" w:type="dxa"/>
            <w:vMerge/>
          </w:tcPr>
          <w:p w14:paraId="445BADAF" w14:textId="77777777" w:rsidR="009A000D" w:rsidRDefault="009A000D" w:rsidP="009A000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_tradnl"/>
              </w:rPr>
            </w:pPr>
          </w:p>
        </w:tc>
        <w:tc>
          <w:tcPr>
            <w:tcW w:w="2009" w:type="dxa"/>
          </w:tcPr>
          <w:p w14:paraId="0C22FB2D" w14:textId="77777777" w:rsidR="009A000D" w:rsidRPr="00FD5E6E" w:rsidRDefault="009A000D"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Número de proyectos de desarrollo ejecutados en territorios indígenas</w:t>
            </w:r>
          </w:p>
        </w:tc>
        <w:tc>
          <w:tcPr>
            <w:tcW w:w="709" w:type="dxa"/>
          </w:tcPr>
          <w:p w14:paraId="350AB6B4"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1</w:t>
            </w:r>
          </w:p>
        </w:tc>
        <w:tc>
          <w:tcPr>
            <w:tcW w:w="817" w:type="dxa"/>
          </w:tcPr>
          <w:p w14:paraId="770FEA8F"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1</w:t>
            </w:r>
          </w:p>
        </w:tc>
        <w:tc>
          <w:tcPr>
            <w:tcW w:w="919" w:type="dxa"/>
          </w:tcPr>
          <w:p w14:paraId="38A6619E"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100%</w:t>
            </w:r>
          </w:p>
        </w:tc>
        <w:tc>
          <w:tcPr>
            <w:tcW w:w="1659" w:type="dxa"/>
          </w:tcPr>
          <w:p w14:paraId="61FBB301" w14:textId="77777777" w:rsidR="009A000D" w:rsidRPr="00FD5E6E" w:rsidRDefault="008C279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Dirección Técnica Operativa</w:t>
            </w:r>
          </w:p>
        </w:tc>
      </w:tr>
      <w:tr w:rsidR="009A000D" w:rsidRPr="00943763" w14:paraId="7C76A91D" w14:textId="77777777" w:rsidTr="00285977">
        <w:trPr>
          <w:cnfStyle w:val="000000100000" w:firstRow="0" w:lastRow="0" w:firstColumn="0" w:lastColumn="0" w:oddVBand="0" w:evenVBand="0" w:oddHBand="1" w:evenHBand="0" w:firstRowFirstColumn="0" w:firstRowLastColumn="0" w:lastRowFirstColumn="0" w:lastRowLastColumn="0"/>
          <w:trHeight w:val="878"/>
          <w:jc w:val="center"/>
        </w:trPr>
        <w:tc>
          <w:tcPr>
            <w:cnfStyle w:val="001000000000" w:firstRow="0" w:lastRow="0" w:firstColumn="1" w:lastColumn="0" w:oddVBand="0" w:evenVBand="0" w:oddHBand="0" w:evenHBand="0" w:firstRowFirstColumn="0" w:firstRowLastColumn="0" w:lastRowFirstColumn="0" w:lastRowLastColumn="0"/>
            <w:tcW w:w="1212" w:type="dxa"/>
            <w:vMerge/>
          </w:tcPr>
          <w:p w14:paraId="2BA286EB" w14:textId="77777777" w:rsidR="009A000D" w:rsidRDefault="009A000D" w:rsidP="009A000D">
            <w:pPr>
              <w:jc w:val="center"/>
              <w:rPr>
                <w:rFonts w:ascii="Arial" w:hAnsi="Arial" w:cs="Arial"/>
                <w:b w:val="0"/>
                <w:sz w:val="16"/>
                <w:szCs w:val="16"/>
                <w:lang w:val="es-ES_tradnl"/>
              </w:rPr>
            </w:pPr>
          </w:p>
        </w:tc>
        <w:tc>
          <w:tcPr>
            <w:tcW w:w="1447" w:type="dxa"/>
            <w:vMerge/>
          </w:tcPr>
          <w:p w14:paraId="151EAA29" w14:textId="77777777" w:rsidR="009A000D" w:rsidRDefault="009A000D" w:rsidP="009A00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s-ES_tradnl"/>
              </w:rPr>
            </w:pPr>
          </w:p>
        </w:tc>
        <w:tc>
          <w:tcPr>
            <w:tcW w:w="2009" w:type="dxa"/>
          </w:tcPr>
          <w:p w14:paraId="547290A1" w14:textId="77777777" w:rsidR="009A000D" w:rsidRPr="00FD5E6E" w:rsidRDefault="009A000D"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Porcentaje de proyectos de infraestructura que cumplen su etapa de operación.</w:t>
            </w:r>
          </w:p>
        </w:tc>
        <w:tc>
          <w:tcPr>
            <w:tcW w:w="709" w:type="dxa"/>
          </w:tcPr>
          <w:p w14:paraId="4A2350FF"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25</w:t>
            </w:r>
          </w:p>
        </w:tc>
        <w:tc>
          <w:tcPr>
            <w:tcW w:w="817" w:type="dxa"/>
          </w:tcPr>
          <w:p w14:paraId="47E71EAD"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6</w:t>
            </w:r>
          </w:p>
        </w:tc>
        <w:tc>
          <w:tcPr>
            <w:tcW w:w="919" w:type="dxa"/>
          </w:tcPr>
          <w:p w14:paraId="0890BD1A"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24%</w:t>
            </w:r>
          </w:p>
        </w:tc>
        <w:tc>
          <w:tcPr>
            <w:tcW w:w="1659" w:type="dxa"/>
          </w:tcPr>
          <w:p w14:paraId="33B3314A" w14:textId="77777777" w:rsidR="009A000D" w:rsidRPr="00FD5E6E" w:rsidRDefault="008C279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Dirección Técnica Operativa</w:t>
            </w:r>
          </w:p>
        </w:tc>
      </w:tr>
      <w:tr w:rsidR="009A000D" w:rsidRPr="00943763" w14:paraId="5F6E2DCC" w14:textId="77777777" w:rsidTr="00285977">
        <w:trPr>
          <w:jc w:val="center"/>
        </w:trPr>
        <w:tc>
          <w:tcPr>
            <w:cnfStyle w:val="001000000000" w:firstRow="0" w:lastRow="0" w:firstColumn="1" w:lastColumn="0" w:oddVBand="0" w:evenVBand="0" w:oddHBand="0" w:evenHBand="0" w:firstRowFirstColumn="0" w:firstRowLastColumn="0" w:lastRowFirstColumn="0" w:lastRowLastColumn="0"/>
            <w:tcW w:w="1212" w:type="dxa"/>
            <w:vMerge/>
          </w:tcPr>
          <w:p w14:paraId="6F42B771" w14:textId="77777777" w:rsidR="009A000D" w:rsidRPr="00FD5E6E" w:rsidRDefault="009A000D" w:rsidP="008E578F">
            <w:pPr>
              <w:jc w:val="center"/>
              <w:rPr>
                <w:rFonts w:ascii="Arial" w:hAnsi="Arial" w:cs="Arial"/>
                <w:b w:val="0"/>
                <w:sz w:val="18"/>
                <w:szCs w:val="18"/>
                <w:lang w:val="es-ES_tradnl"/>
              </w:rPr>
            </w:pPr>
          </w:p>
        </w:tc>
        <w:tc>
          <w:tcPr>
            <w:tcW w:w="1447" w:type="dxa"/>
            <w:vMerge/>
          </w:tcPr>
          <w:p w14:paraId="6D845845" w14:textId="77777777" w:rsidR="009A000D" w:rsidRPr="00FD5E6E" w:rsidRDefault="009A000D"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tc>
        <w:tc>
          <w:tcPr>
            <w:tcW w:w="2009" w:type="dxa"/>
          </w:tcPr>
          <w:p w14:paraId="093B3067" w14:textId="77777777" w:rsidR="009A000D" w:rsidRPr="00FD5E6E" w:rsidRDefault="009A000D"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Porcentaje de proyectos liquidados</w:t>
            </w:r>
          </w:p>
        </w:tc>
        <w:tc>
          <w:tcPr>
            <w:tcW w:w="709" w:type="dxa"/>
          </w:tcPr>
          <w:p w14:paraId="3EBC9119"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85</w:t>
            </w:r>
          </w:p>
        </w:tc>
        <w:tc>
          <w:tcPr>
            <w:tcW w:w="817" w:type="dxa"/>
          </w:tcPr>
          <w:p w14:paraId="63172FF7"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47</w:t>
            </w:r>
          </w:p>
        </w:tc>
        <w:tc>
          <w:tcPr>
            <w:tcW w:w="919" w:type="dxa"/>
          </w:tcPr>
          <w:p w14:paraId="0B98064D"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55</w:t>
            </w:r>
            <w:r w:rsidR="009A000D" w:rsidRPr="00FD5E6E">
              <w:rPr>
                <w:rFonts w:ascii="Arial" w:hAnsi="Arial" w:cs="Arial"/>
                <w:sz w:val="18"/>
                <w:szCs w:val="18"/>
                <w:lang w:val="es-ES_tradnl"/>
              </w:rPr>
              <w:t>%</w:t>
            </w:r>
          </w:p>
        </w:tc>
        <w:tc>
          <w:tcPr>
            <w:tcW w:w="1659" w:type="dxa"/>
          </w:tcPr>
          <w:p w14:paraId="62367D34" w14:textId="77777777" w:rsidR="009A000D" w:rsidRPr="00FD5E6E" w:rsidRDefault="00285977" w:rsidP="008E578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Dirección Técnica Operativa</w:t>
            </w:r>
          </w:p>
        </w:tc>
      </w:tr>
      <w:tr w:rsidR="009A000D" w:rsidRPr="00943763" w14:paraId="5735E90B" w14:textId="77777777" w:rsidTr="002859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2" w:type="dxa"/>
            <w:vMerge/>
          </w:tcPr>
          <w:p w14:paraId="20DFD942" w14:textId="77777777" w:rsidR="009A000D" w:rsidRPr="00FD5E6E" w:rsidRDefault="009A000D" w:rsidP="008E578F">
            <w:pPr>
              <w:jc w:val="center"/>
              <w:rPr>
                <w:rFonts w:ascii="Arial" w:hAnsi="Arial" w:cs="Arial"/>
                <w:b w:val="0"/>
                <w:sz w:val="18"/>
                <w:szCs w:val="18"/>
                <w:lang w:val="es-ES_tradnl"/>
              </w:rPr>
            </w:pPr>
          </w:p>
        </w:tc>
        <w:tc>
          <w:tcPr>
            <w:tcW w:w="1447" w:type="dxa"/>
          </w:tcPr>
          <w:p w14:paraId="469E6CE7" w14:textId="77777777" w:rsidR="009A000D" w:rsidRDefault="009A000D"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p>
          <w:p w14:paraId="46C4AF09" w14:textId="77777777" w:rsidR="009A000D" w:rsidRPr="00FD5E6E" w:rsidRDefault="009A000D"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Capacitaciones</w:t>
            </w:r>
          </w:p>
        </w:tc>
        <w:tc>
          <w:tcPr>
            <w:tcW w:w="2009" w:type="dxa"/>
          </w:tcPr>
          <w:p w14:paraId="027BD34D" w14:textId="77777777" w:rsidR="009A000D" w:rsidRPr="00FD5E6E" w:rsidRDefault="009A000D"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sidRPr="009A000D">
              <w:rPr>
                <w:rFonts w:ascii="Arial" w:hAnsi="Arial" w:cs="Arial"/>
                <w:sz w:val="18"/>
                <w:szCs w:val="18"/>
                <w:lang w:val="es-ES_tradnl"/>
              </w:rPr>
              <w:t>Porcentaje de uniones cantonales con conocimientos adquiridos en seguridad ciudadana</w:t>
            </w:r>
          </w:p>
        </w:tc>
        <w:tc>
          <w:tcPr>
            <w:tcW w:w="709" w:type="dxa"/>
          </w:tcPr>
          <w:p w14:paraId="6365DB15" w14:textId="77777777" w:rsidR="009A000D" w:rsidRPr="00FD5E6E" w:rsidRDefault="00285977" w:rsidP="009D118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w:t>
            </w:r>
          </w:p>
        </w:tc>
        <w:tc>
          <w:tcPr>
            <w:tcW w:w="817" w:type="dxa"/>
          </w:tcPr>
          <w:p w14:paraId="5592919E"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w:t>
            </w:r>
          </w:p>
        </w:tc>
        <w:tc>
          <w:tcPr>
            <w:tcW w:w="919" w:type="dxa"/>
          </w:tcPr>
          <w:p w14:paraId="72E934D6"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w:t>
            </w:r>
          </w:p>
        </w:tc>
        <w:tc>
          <w:tcPr>
            <w:tcW w:w="1659" w:type="dxa"/>
          </w:tcPr>
          <w:p w14:paraId="779CD8CB" w14:textId="77777777" w:rsidR="009A000D" w:rsidRPr="00FD5E6E" w:rsidRDefault="00285977" w:rsidP="008E578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Unidad de Planificación Institucional</w:t>
            </w:r>
          </w:p>
        </w:tc>
      </w:tr>
    </w:tbl>
    <w:p w14:paraId="4A3A2A3B" w14:textId="77777777" w:rsidR="00867AC0" w:rsidRPr="005D5996" w:rsidRDefault="00867AC0" w:rsidP="00867AC0">
      <w:pPr>
        <w:spacing w:line="360" w:lineRule="auto"/>
        <w:ind w:left="-142"/>
        <w:jc w:val="both"/>
        <w:rPr>
          <w:rFonts w:ascii="Arial" w:hAnsi="Arial" w:cs="Arial"/>
          <w:sz w:val="14"/>
          <w:szCs w:val="14"/>
          <w:lang w:val="es-ES_tradnl"/>
        </w:rPr>
      </w:pPr>
      <w:r w:rsidRPr="005D5996">
        <w:rPr>
          <w:rFonts w:ascii="Arial" w:hAnsi="Arial" w:cs="Arial"/>
          <w:b/>
          <w:sz w:val="14"/>
          <w:szCs w:val="14"/>
          <w:lang w:val="es-ES_tradnl"/>
        </w:rPr>
        <w:t>Fuente</w:t>
      </w:r>
      <w:r w:rsidRPr="005D5996">
        <w:rPr>
          <w:rFonts w:ascii="Arial" w:hAnsi="Arial" w:cs="Arial"/>
          <w:sz w:val="14"/>
          <w:szCs w:val="14"/>
          <w:lang w:val="es-ES_tradnl"/>
        </w:rPr>
        <w:t xml:space="preserve">: </w:t>
      </w:r>
      <w:r w:rsidR="00285977">
        <w:rPr>
          <w:rFonts w:ascii="Arial" w:hAnsi="Arial" w:cs="Arial"/>
          <w:sz w:val="14"/>
          <w:szCs w:val="14"/>
          <w:lang w:val="es-ES_tradnl"/>
        </w:rPr>
        <w:t>Dirección Técnica Operativa, Unidad de Planificación Institucional</w:t>
      </w:r>
      <w:r w:rsidRPr="005D5996">
        <w:rPr>
          <w:rFonts w:ascii="Arial" w:hAnsi="Arial" w:cs="Arial"/>
          <w:sz w:val="14"/>
          <w:szCs w:val="14"/>
          <w:lang w:val="es-ES_tradnl"/>
        </w:rPr>
        <w:t xml:space="preserve">. </w:t>
      </w:r>
    </w:p>
    <w:p w14:paraId="3472EE1B" w14:textId="77777777" w:rsidR="00867AC0" w:rsidRPr="00D84839" w:rsidRDefault="00867AC0" w:rsidP="00867AC0">
      <w:pPr>
        <w:spacing w:line="360" w:lineRule="auto"/>
        <w:jc w:val="both"/>
        <w:rPr>
          <w:rFonts w:ascii="Arial" w:hAnsi="Arial" w:cs="Arial"/>
          <w:sz w:val="20"/>
          <w:szCs w:val="20"/>
          <w:lang w:val="es-ES_tradnl"/>
        </w:rPr>
      </w:pPr>
    </w:p>
    <w:p w14:paraId="38253F07" w14:textId="77777777" w:rsidR="00693DDD" w:rsidRDefault="00693DDD" w:rsidP="00943763">
      <w:pPr>
        <w:jc w:val="center"/>
        <w:rPr>
          <w:rFonts w:ascii="Arial" w:hAnsi="Arial" w:cs="Arial"/>
          <w:sz w:val="20"/>
          <w:szCs w:val="20"/>
          <w:lang w:val="es-ES_tradnl"/>
        </w:rPr>
      </w:pPr>
    </w:p>
    <w:p w14:paraId="07EFB262" w14:textId="77777777" w:rsidR="00134F4A" w:rsidRDefault="00134F4A" w:rsidP="00F82D83">
      <w:pPr>
        <w:pStyle w:val="Prrafodelista"/>
        <w:numPr>
          <w:ilvl w:val="0"/>
          <w:numId w:val="3"/>
        </w:numPr>
        <w:autoSpaceDE w:val="0"/>
        <w:autoSpaceDN w:val="0"/>
        <w:adjustRightInd w:val="0"/>
        <w:spacing w:after="200" w:line="276" w:lineRule="auto"/>
        <w:jc w:val="both"/>
        <w:rPr>
          <w:rFonts w:ascii="Arial" w:hAnsi="Arial" w:cs="Arial"/>
          <w:sz w:val="20"/>
          <w:szCs w:val="20"/>
          <w:lang w:val="es"/>
        </w:rPr>
      </w:pPr>
      <w:r w:rsidRPr="00F82D83">
        <w:rPr>
          <w:rFonts w:ascii="Arial" w:hAnsi="Arial" w:cs="Arial"/>
          <w:sz w:val="20"/>
          <w:szCs w:val="20"/>
          <w:lang w:val="es"/>
        </w:rPr>
        <w:t xml:space="preserve">En relación con las unidades de medida, para los casos con porcentajes de cumplimientos bajo y medio, indique las razones que incidieron para ubicarse en determinado nivel y las acciones correctivas que desarrollará el programa y/o subprograma con la fecha de implementación de las mismas, así como el nombre de la unidad o departamento que las llevará a cabo y dará seguimiento para efectuar una mejor gestión. </w:t>
      </w:r>
    </w:p>
    <w:p w14:paraId="119B0DFB" w14:textId="77777777" w:rsidR="00134F4A" w:rsidRPr="00F82D83" w:rsidRDefault="00134F4A" w:rsidP="00686001">
      <w:pPr>
        <w:autoSpaceDE w:val="0"/>
        <w:autoSpaceDN w:val="0"/>
        <w:adjustRightInd w:val="0"/>
        <w:spacing w:after="200" w:line="276" w:lineRule="auto"/>
        <w:jc w:val="both"/>
        <w:rPr>
          <w:rFonts w:ascii="Arial" w:hAnsi="Arial" w:cs="Arial"/>
          <w:sz w:val="20"/>
          <w:szCs w:val="20"/>
          <w:lang w:val="es"/>
        </w:rPr>
      </w:pPr>
      <w:r w:rsidRPr="00F82D83">
        <w:rPr>
          <w:rFonts w:ascii="Arial" w:hAnsi="Arial" w:cs="Arial"/>
          <w:sz w:val="20"/>
          <w:szCs w:val="20"/>
          <w:lang w:val="es"/>
        </w:rPr>
        <w:t>Unidad de medida no se cuantifica porque no se puede predecir el total de proyectos que DINADECO aprobará por año, ni cuales comunidades en particular van a demandar proyectos.</w:t>
      </w:r>
      <w:r w:rsidR="00BA37F4" w:rsidRPr="00F82D83">
        <w:rPr>
          <w:rFonts w:ascii="Arial" w:hAnsi="Arial" w:cs="Arial"/>
          <w:sz w:val="20"/>
          <w:szCs w:val="20"/>
          <w:lang w:val="es"/>
        </w:rPr>
        <w:t xml:space="preserve"> </w:t>
      </w:r>
    </w:p>
    <w:p w14:paraId="04740864" w14:textId="77777777" w:rsidR="009F0ADD" w:rsidRPr="00686001" w:rsidRDefault="00285977" w:rsidP="00686001">
      <w:pPr>
        <w:pStyle w:val="Prrafodelista"/>
        <w:numPr>
          <w:ilvl w:val="0"/>
          <w:numId w:val="3"/>
        </w:numPr>
        <w:autoSpaceDE w:val="0"/>
        <w:autoSpaceDN w:val="0"/>
        <w:adjustRightInd w:val="0"/>
        <w:spacing w:after="200" w:line="276" w:lineRule="auto"/>
        <w:jc w:val="both"/>
        <w:rPr>
          <w:rFonts w:ascii="Arial" w:hAnsi="Arial" w:cs="Arial"/>
          <w:sz w:val="20"/>
          <w:szCs w:val="20"/>
        </w:rPr>
      </w:pPr>
      <w:r w:rsidRPr="00F82D83">
        <w:rPr>
          <w:rFonts w:ascii="Arial" w:hAnsi="Arial" w:cs="Arial"/>
          <w:sz w:val="20"/>
          <w:szCs w:val="20"/>
          <w:lang w:val="es-MX"/>
        </w:rPr>
        <w:br w:type="page"/>
      </w:r>
      <w:r w:rsidR="008C4911" w:rsidRPr="00686001">
        <w:rPr>
          <w:rFonts w:ascii="Arial" w:hAnsi="Arial" w:cs="Arial"/>
          <w:bCs/>
          <w:sz w:val="20"/>
          <w:szCs w:val="20"/>
        </w:rPr>
        <w:lastRenderedPageBreak/>
        <w:t>Elabore</w:t>
      </w:r>
      <w:r w:rsidR="009F0ADD" w:rsidRPr="00686001">
        <w:rPr>
          <w:rFonts w:ascii="Arial" w:hAnsi="Arial" w:cs="Arial"/>
          <w:bCs/>
          <w:sz w:val="20"/>
          <w:szCs w:val="20"/>
        </w:rPr>
        <w:t xml:space="preserve"> </w:t>
      </w:r>
      <w:r w:rsidR="009F0ADD" w:rsidRPr="00686001">
        <w:rPr>
          <w:rFonts w:ascii="Arial" w:hAnsi="Arial" w:cs="Arial"/>
          <w:sz w:val="20"/>
          <w:szCs w:val="20"/>
          <w:lang w:val="es"/>
        </w:rPr>
        <w:t>un</w:t>
      </w:r>
      <w:r w:rsidR="009F0ADD" w:rsidRPr="00686001">
        <w:rPr>
          <w:rFonts w:ascii="Arial" w:hAnsi="Arial" w:cs="Arial"/>
          <w:sz w:val="20"/>
          <w:szCs w:val="20"/>
        </w:rPr>
        <w:t xml:space="preserve"> análisis amplio de los resultados de </w:t>
      </w:r>
      <w:r w:rsidR="009F0ADD" w:rsidRPr="00686001">
        <w:rPr>
          <w:rFonts w:ascii="Arial" w:hAnsi="Arial" w:cs="Arial"/>
          <w:sz w:val="20"/>
          <w:szCs w:val="20"/>
          <w:u w:val="single"/>
        </w:rPr>
        <w:t>cada indicador de producto</w:t>
      </w:r>
      <w:r w:rsidR="009F0ADD" w:rsidRPr="00686001">
        <w:rPr>
          <w:rFonts w:ascii="Arial" w:hAnsi="Arial" w:cs="Arial"/>
          <w:sz w:val="20"/>
          <w:szCs w:val="20"/>
        </w:rPr>
        <w:t xml:space="preserve"> del programa </w:t>
      </w:r>
      <w:r w:rsidR="008C4911" w:rsidRPr="00686001">
        <w:rPr>
          <w:rFonts w:ascii="Arial" w:hAnsi="Arial" w:cs="Arial"/>
          <w:sz w:val="20"/>
          <w:szCs w:val="20"/>
        </w:rPr>
        <w:t>y/</w:t>
      </w:r>
      <w:r w:rsidR="009F0ADD" w:rsidRPr="00686001">
        <w:rPr>
          <w:rFonts w:ascii="Arial" w:hAnsi="Arial" w:cs="Arial"/>
          <w:sz w:val="20"/>
          <w:szCs w:val="20"/>
        </w:rPr>
        <w:t>o subprograma, considerando los siguientes aspectos:</w:t>
      </w:r>
    </w:p>
    <w:p w14:paraId="72728C43" w14:textId="77777777" w:rsidR="009F0ADD" w:rsidRPr="00F82D83" w:rsidRDefault="009F0ADD" w:rsidP="009F0ADD">
      <w:pPr>
        <w:spacing w:line="360" w:lineRule="auto"/>
        <w:jc w:val="both"/>
        <w:rPr>
          <w:rFonts w:ascii="Arial" w:hAnsi="Arial" w:cs="Arial"/>
          <w:sz w:val="20"/>
          <w:szCs w:val="20"/>
        </w:rPr>
      </w:pPr>
    </w:p>
    <w:p w14:paraId="2F7BDF6D" w14:textId="77777777" w:rsidR="009F0ADD" w:rsidRPr="00F82D83" w:rsidRDefault="009F0ADD" w:rsidP="004602F7">
      <w:pPr>
        <w:numPr>
          <w:ilvl w:val="0"/>
          <w:numId w:val="1"/>
        </w:numPr>
        <w:tabs>
          <w:tab w:val="clear" w:pos="720"/>
          <w:tab w:val="num" w:pos="851"/>
        </w:tabs>
        <w:spacing w:line="360" w:lineRule="auto"/>
        <w:ind w:left="851" w:hanging="425"/>
        <w:jc w:val="both"/>
        <w:rPr>
          <w:rFonts w:ascii="Arial" w:hAnsi="Arial" w:cs="Arial"/>
          <w:sz w:val="20"/>
          <w:szCs w:val="20"/>
        </w:rPr>
      </w:pPr>
      <w:r w:rsidRPr="00F82D83">
        <w:rPr>
          <w:rFonts w:ascii="Arial" w:hAnsi="Arial" w:cs="Arial"/>
          <w:sz w:val="20"/>
          <w:szCs w:val="20"/>
        </w:rPr>
        <w:t xml:space="preserve">De los indicadores con un </w:t>
      </w:r>
      <w:r w:rsidRPr="00F82D83">
        <w:rPr>
          <w:rFonts w:ascii="Arial" w:hAnsi="Arial" w:cs="Arial"/>
          <w:b/>
          <w:sz w:val="20"/>
          <w:szCs w:val="20"/>
        </w:rPr>
        <w:t xml:space="preserve">cumplimiento </w:t>
      </w:r>
      <w:r w:rsidR="00ED4246" w:rsidRPr="00F82D83">
        <w:rPr>
          <w:rFonts w:ascii="Arial" w:hAnsi="Arial" w:cs="Arial"/>
          <w:b/>
          <w:sz w:val="20"/>
          <w:szCs w:val="20"/>
        </w:rPr>
        <w:t>alto</w:t>
      </w:r>
      <w:r w:rsidR="00ED4246" w:rsidRPr="00F82D83">
        <w:rPr>
          <w:rFonts w:ascii="Arial" w:hAnsi="Arial" w:cs="Arial"/>
          <w:sz w:val="20"/>
          <w:szCs w:val="20"/>
        </w:rPr>
        <w:t xml:space="preserve"> (mayor o igual a 90</w:t>
      </w:r>
      <w:r w:rsidR="00EB6B5E" w:rsidRPr="00F82D83">
        <w:rPr>
          <w:rFonts w:ascii="Arial" w:hAnsi="Arial" w:cs="Arial"/>
          <w:sz w:val="20"/>
          <w:szCs w:val="20"/>
        </w:rPr>
        <w:t>,0</w:t>
      </w:r>
      <w:r w:rsidR="00ED4246" w:rsidRPr="00F82D83">
        <w:rPr>
          <w:rFonts w:ascii="Arial" w:hAnsi="Arial" w:cs="Arial"/>
          <w:sz w:val="20"/>
          <w:szCs w:val="20"/>
        </w:rPr>
        <w:t>%)</w:t>
      </w:r>
      <w:r w:rsidRPr="00F82D83">
        <w:rPr>
          <w:rFonts w:ascii="Arial" w:hAnsi="Arial" w:cs="Arial"/>
          <w:sz w:val="20"/>
          <w:szCs w:val="20"/>
        </w:rPr>
        <w:t xml:space="preserve">, indique los beneficios brindados a la población objeto. En caso de existir metas con resultados mayores a lo programado, se deberá justificar las razones que lo generaron. </w:t>
      </w:r>
    </w:p>
    <w:p w14:paraId="3E372074" w14:textId="77777777" w:rsidR="00867AC0" w:rsidRPr="00F82D83" w:rsidRDefault="00867AC0" w:rsidP="00867AC0">
      <w:pPr>
        <w:spacing w:line="360" w:lineRule="auto"/>
        <w:jc w:val="both"/>
        <w:rPr>
          <w:rFonts w:ascii="Arial" w:hAnsi="Arial" w:cs="Arial"/>
          <w:sz w:val="20"/>
          <w:szCs w:val="20"/>
        </w:rPr>
      </w:pPr>
    </w:p>
    <w:p w14:paraId="63E4E365" w14:textId="77777777" w:rsidR="00362F13" w:rsidRPr="00F82D83" w:rsidRDefault="00867AC0" w:rsidP="00A7188B">
      <w:pPr>
        <w:spacing w:line="360" w:lineRule="auto"/>
        <w:ind w:left="360"/>
        <w:jc w:val="both"/>
        <w:rPr>
          <w:rFonts w:ascii="Arial" w:hAnsi="Arial" w:cs="Arial"/>
          <w:sz w:val="20"/>
          <w:szCs w:val="20"/>
        </w:rPr>
      </w:pPr>
      <w:r w:rsidRPr="00F82D83">
        <w:rPr>
          <w:rFonts w:ascii="Arial" w:hAnsi="Arial" w:cs="Arial"/>
          <w:b/>
          <w:sz w:val="20"/>
          <w:szCs w:val="20"/>
        </w:rPr>
        <w:t xml:space="preserve">Indicador: Número de proyectos de desarrollo ejecutados en territorios indígenas: </w:t>
      </w:r>
      <w:r w:rsidR="00362F13" w:rsidRPr="00F82D83">
        <w:rPr>
          <w:rFonts w:ascii="Arial" w:hAnsi="Arial" w:cs="Arial"/>
          <w:sz w:val="20"/>
          <w:szCs w:val="20"/>
        </w:rPr>
        <w:t xml:space="preserve">Los territorios indígenas dada su lejanía de centros y servicios urbanos, </w:t>
      </w:r>
      <w:r w:rsidR="00EC03BF" w:rsidRPr="00F82D83">
        <w:rPr>
          <w:rFonts w:ascii="Arial" w:hAnsi="Arial" w:cs="Arial"/>
          <w:sz w:val="20"/>
          <w:szCs w:val="20"/>
        </w:rPr>
        <w:t xml:space="preserve">requieren de instalaciones sustentables que les permitan soportar la </w:t>
      </w:r>
      <w:r w:rsidR="00362F13" w:rsidRPr="00F82D83">
        <w:rPr>
          <w:rFonts w:ascii="Arial" w:hAnsi="Arial" w:cs="Arial"/>
          <w:sz w:val="20"/>
          <w:szCs w:val="20"/>
        </w:rPr>
        <w:t>vida colectiva de la comunidad.  En estos casos la comunidad decidió y gestionó su ruta al d</w:t>
      </w:r>
      <w:r w:rsidR="00361A03" w:rsidRPr="00F82D83">
        <w:rPr>
          <w:rFonts w:ascii="Arial" w:hAnsi="Arial" w:cs="Arial"/>
          <w:sz w:val="20"/>
          <w:szCs w:val="20"/>
        </w:rPr>
        <w:t>esarrollo de tal manera que cre</w:t>
      </w:r>
      <w:r w:rsidR="00362F13" w:rsidRPr="00F82D83">
        <w:rPr>
          <w:rFonts w:ascii="Arial" w:hAnsi="Arial" w:cs="Arial"/>
          <w:sz w:val="20"/>
          <w:szCs w:val="20"/>
        </w:rPr>
        <w:t xml:space="preserve">ó un centro </w:t>
      </w:r>
      <w:r w:rsidR="00EC03BF" w:rsidRPr="00F82D83">
        <w:rPr>
          <w:rFonts w:ascii="Arial" w:hAnsi="Arial" w:cs="Arial"/>
          <w:sz w:val="20"/>
          <w:szCs w:val="20"/>
        </w:rPr>
        <w:t xml:space="preserve">de múltiples propósitos </w:t>
      </w:r>
      <w:r w:rsidR="00362F13" w:rsidRPr="00F82D83">
        <w:rPr>
          <w:rFonts w:ascii="Arial" w:hAnsi="Arial" w:cs="Arial"/>
          <w:sz w:val="20"/>
          <w:szCs w:val="20"/>
        </w:rPr>
        <w:t xml:space="preserve">para sus reuniones y actividades, celebraciones y de resguardo ante eventos naturales. </w:t>
      </w:r>
      <w:r w:rsidR="00362F13" w:rsidRPr="00F82D83">
        <w:rPr>
          <w:rFonts w:ascii="Arial" w:hAnsi="Arial" w:cs="Arial"/>
          <w:bCs/>
          <w:sz w:val="20"/>
          <w:szCs w:val="20"/>
        </w:rPr>
        <w:t>El logro de este tipo de proyectos reside en que constituye una obra para operar en el largo plazo, para el beneficio de distintas generaciones.</w:t>
      </w:r>
    </w:p>
    <w:p w14:paraId="5EF4910D" w14:textId="77777777" w:rsidR="00362F13" w:rsidRPr="00F82D83" w:rsidRDefault="00362F13" w:rsidP="00867AC0">
      <w:pPr>
        <w:spacing w:line="360" w:lineRule="auto"/>
        <w:ind w:left="360"/>
        <w:jc w:val="both"/>
        <w:rPr>
          <w:rFonts w:ascii="Arial" w:hAnsi="Arial" w:cs="Arial"/>
          <w:b/>
          <w:sz w:val="20"/>
          <w:szCs w:val="20"/>
        </w:rPr>
      </w:pPr>
    </w:p>
    <w:p w14:paraId="676D871F" w14:textId="77777777" w:rsidR="00A7188B" w:rsidRDefault="00867AC0" w:rsidP="00A7188B">
      <w:pPr>
        <w:spacing w:line="360" w:lineRule="auto"/>
        <w:ind w:left="360"/>
        <w:jc w:val="both"/>
        <w:rPr>
          <w:rFonts w:ascii="Arial" w:hAnsi="Arial" w:cs="Arial"/>
          <w:sz w:val="20"/>
          <w:szCs w:val="20"/>
        </w:rPr>
      </w:pPr>
      <w:r w:rsidRPr="00F82D83">
        <w:rPr>
          <w:rFonts w:ascii="Arial" w:hAnsi="Arial" w:cs="Arial"/>
          <w:sz w:val="20"/>
          <w:szCs w:val="20"/>
        </w:rPr>
        <w:t>La meta planteada se cumplió dentro del segundo semestre de 2018 con la aprobación del nuevo Consejo Nacional de Desarrollo Comunal (CNDC).  Se liquidó el proyecto de “Cementado de cuestas de la Fundación camino a Matastal y cuesta del cementerio” de la Asociación de Desarrollo Integral de la Reserva Indígena Zapatón de Puriscal.  Este proyecto fue por un monto de ₡119.660.795,00</w:t>
      </w:r>
      <w:r w:rsidR="00A14E99" w:rsidRPr="00F82D83">
        <w:rPr>
          <w:rFonts w:ascii="Arial" w:hAnsi="Arial" w:cs="Arial"/>
          <w:sz w:val="20"/>
          <w:szCs w:val="20"/>
        </w:rPr>
        <w:t xml:space="preserve"> colones</w:t>
      </w:r>
      <w:r w:rsidRPr="00F82D83">
        <w:rPr>
          <w:rFonts w:ascii="Arial" w:hAnsi="Arial" w:cs="Arial"/>
          <w:sz w:val="20"/>
          <w:szCs w:val="20"/>
        </w:rPr>
        <w:t xml:space="preserve">.  </w:t>
      </w:r>
    </w:p>
    <w:p w14:paraId="6FE5A393" w14:textId="77777777" w:rsidR="00A7188B" w:rsidRDefault="00A7188B" w:rsidP="00A7188B">
      <w:pPr>
        <w:spacing w:line="360" w:lineRule="auto"/>
        <w:ind w:left="360"/>
        <w:jc w:val="both"/>
        <w:rPr>
          <w:rFonts w:ascii="Arial" w:hAnsi="Arial" w:cs="Arial"/>
          <w:sz w:val="20"/>
          <w:szCs w:val="20"/>
        </w:rPr>
      </w:pPr>
    </w:p>
    <w:p w14:paraId="57C12D25" w14:textId="77777777" w:rsidR="00362F13" w:rsidRPr="00F82D83" w:rsidRDefault="00433146" w:rsidP="00A7188B">
      <w:pPr>
        <w:spacing w:line="360" w:lineRule="auto"/>
        <w:ind w:left="360"/>
        <w:jc w:val="both"/>
        <w:rPr>
          <w:rFonts w:ascii="Arial" w:hAnsi="Arial" w:cs="Arial"/>
          <w:bCs/>
          <w:sz w:val="20"/>
          <w:szCs w:val="20"/>
        </w:rPr>
      </w:pPr>
      <w:r w:rsidRPr="00F82D83">
        <w:rPr>
          <w:rFonts w:ascii="Arial" w:hAnsi="Arial" w:cs="Arial"/>
          <w:bCs/>
          <w:sz w:val="20"/>
          <w:szCs w:val="20"/>
        </w:rPr>
        <w:t>Mediante este tipo de proyectos, Dinadeco contribuye con la organización y fortalecimiento de este tipo de organizaciones y también se fomenta el desarrollo local del territorio indígena</w:t>
      </w:r>
      <w:r w:rsidR="00721820" w:rsidRPr="00F82D83">
        <w:rPr>
          <w:rFonts w:ascii="Arial" w:hAnsi="Arial" w:cs="Arial"/>
          <w:bCs/>
          <w:sz w:val="20"/>
          <w:szCs w:val="20"/>
        </w:rPr>
        <w:t xml:space="preserve"> lo cual es consistente con la misión institucional</w:t>
      </w:r>
      <w:r w:rsidRPr="00F82D83">
        <w:rPr>
          <w:rFonts w:ascii="Arial" w:hAnsi="Arial" w:cs="Arial"/>
          <w:bCs/>
          <w:sz w:val="20"/>
          <w:szCs w:val="20"/>
        </w:rPr>
        <w:t>.</w:t>
      </w:r>
    </w:p>
    <w:p w14:paraId="28EDD044" w14:textId="77777777" w:rsidR="009D4C1C" w:rsidRPr="00F82D83" w:rsidRDefault="009D4C1C" w:rsidP="009D4C1C">
      <w:pPr>
        <w:spacing w:line="360" w:lineRule="auto"/>
        <w:ind w:left="720"/>
        <w:jc w:val="both"/>
        <w:rPr>
          <w:rFonts w:ascii="Arial" w:hAnsi="Arial" w:cs="Arial"/>
          <w:bCs/>
          <w:sz w:val="20"/>
          <w:szCs w:val="20"/>
        </w:rPr>
      </w:pPr>
      <w:r w:rsidRPr="00F82D83">
        <w:rPr>
          <w:rFonts w:ascii="Arial" w:hAnsi="Arial" w:cs="Arial"/>
          <w:bCs/>
          <w:sz w:val="20"/>
          <w:szCs w:val="20"/>
        </w:rPr>
        <w:br w:type="page"/>
      </w:r>
    </w:p>
    <w:p w14:paraId="465B82CA" w14:textId="77777777" w:rsidR="009D4C1C" w:rsidRPr="00F82D83" w:rsidRDefault="009D4C1C" w:rsidP="00433146">
      <w:pPr>
        <w:spacing w:line="360" w:lineRule="auto"/>
        <w:ind w:left="360"/>
        <w:jc w:val="both"/>
        <w:rPr>
          <w:rFonts w:ascii="Arial" w:hAnsi="Arial" w:cs="Arial"/>
          <w:sz w:val="20"/>
          <w:szCs w:val="20"/>
        </w:rPr>
      </w:pPr>
    </w:p>
    <w:p w14:paraId="3FB5612A" w14:textId="77777777" w:rsidR="009D4C1C" w:rsidRPr="00F82D83" w:rsidRDefault="009D4C1C" w:rsidP="00433146">
      <w:pPr>
        <w:spacing w:line="360" w:lineRule="auto"/>
        <w:ind w:left="360"/>
        <w:jc w:val="both"/>
        <w:rPr>
          <w:rFonts w:ascii="Arial" w:hAnsi="Arial" w:cs="Arial"/>
          <w:sz w:val="20"/>
          <w:szCs w:val="20"/>
        </w:rPr>
      </w:pPr>
    </w:p>
    <w:p w14:paraId="2C5D63AC" w14:textId="77777777" w:rsidR="00362F13" w:rsidRPr="00F82D83" w:rsidRDefault="00362F13" w:rsidP="00867AC0">
      <w:pPr>
        <w:spacing w:line="360" w:lineRule="auto"/>
        <w:jc w:val="both"/>
        <w:rPr>
          <w:rFonts w:ascii="Arial" w:hAnsi="Arial" w:cs="Arial"/>
          <w:sz w:val="20"/>
          <w:szCs w:val="20"/>
        </w:rPr>
      </w:pPr>
    </w:p>
    <w:p w14:paraId="15C5880A" w14:textId="77777777" w:rsidR="00867AC0" w:rsidRPr="00F82D83" w:rsidRDefault="00867AC0" w:rsidP="00867AC0">
      <w:pPr>
        <w:numPr>
          <w:ilvl w:val="0"/>
          <w:numId w:val="2"/>
        </w:numPr>
        <w:tabs>
          <w:tab w:val="num" w:pos="851"/>
        </w:tabs>
        <w:spacing w:line="360" w:lineRule="auto"/>
        <w:ind w:left="851" w:hanging="425"/>
        <w:jc w:val="both"/>
        <w:rPr>
          <w:rFonts w:ascii="Arial" w:hAnsi="Arial" w:cs="Arial"/>
          <w:sz w:val="20"/>
          <w:szCs w:val="20"/>
        </w:rPr>
      </w:pPr>
      <w:bookmarkStart w:id="13" w:name="OLE_LINK4"/>
      <w:r w:rsidRPr="00F82D83">
        <w:rPr>
          <w:rFonts w:ascii="Arial" w:hAnsi="Arial" w:cs="Arial"/>
          <w:sz w:val="20"/>
          <w:szCs w:val="20"/>
        </w:rPr>
        <w:t xml:space="preserve">De los indicadores con un </w:t>
      </w:r>
      <w:r w:rsidRPr="00F82D83">
        <w:rPr>
          <w:rFonts w:ascii="Arial" w:hAnsi="Arial" w:cs="Arial"/>
          <w:b/>
          <w:sz w:val="20"/>
          <w:szCs w:val="20"/>
        </w:rPr>
        <w:t>cumplimiento medio y bajo</w:t>
      </w:r>
      <w:r w:rsidRPr="00F82D83">
        <w:rPr>
          <w:rFonts w:ascii="Arial" w:hAnsi="Arial" w:cs="Arial"/>
          <w:sz w:val="20"/>
          <w:szCs w:val="20"/>
        </w:rPr>
        <w:t xml:space="preserve"> (menor o igual a 89,99%), refiérase a cómo esto afectó a la población objeto por los beneficios que dejó de recibir. Señalar las causas que propiciaron el incumplimiento y las medidas correctivas que la institución llevará a cabo </w:t>
      </w:r>
      <w:r w:rsidRPr="00F82D83">
        <w:rPr>
          <w:rFonts w:ascii="Arial" w:hAnsi="Arial" w:cs="Arial"/>
          <w:sz w:val="20"/>
          <w:szCs w:val="20"/>
          <w:u w:val="single"/>
          <w:lang w:val="es-MX"/>
        </w:rPr>
        <w:t>con la fecha de implementación de las mismas</w:t>
      </w:r>
      <w:r w:rsidRPr="00F82D83">
        <w:rPr>
          <w:rFonts w:ascii="Arial" w:hAnsi="Arial" w:cs="Arial"/>
          <w:sz w:val="20"/>
          <w:szCs w:val="20"/>
        </w:rPr>
        <w:t xml:space="preserve">, </w:t>
      </w:r>
      <w:r w:rsidRPr="00F82D83">
        <w:rPr>
          <w:rFonts w:ascii="Arial" w:hAnsi="Arial" w:cs="Arial"/>
          <w:bCs/>
          <w:sz w:val="20"/>
          <w:szCs w:val="20"/>
        </w:rPr>
        <w:t>así como el nombre de la unidad o departamento que las ejecutará y dará seguimiento para efectuar una mejor gestión.</w:t>
      </w:r>
      <w:r w:rsidRPr="00F82D83">
        <w:rPr>
          <w:rFonts w:ascii="Arial" w:hAnsi="Arial" w:cs="Arial"/>
          <w:sz w:val="20"/>
          <w:szCs w:val="20"/>
        </w:rPr>
        <w:t xml:space="preserve"> En los casos que sean reincidentes, referirse a las acciones que ha llevado a cabo la entidad para mejorar la situación. </w:t>
      </w:r>
    </w:p>
    <w:p w14:paraId="5600B735" w14:textId="77777777" w:rsidR="00903B60" w:rsidRPr="00F82D83" w:rsidRDefault="00903B60" w:rsidP="008321DA">
      <w:pPr>
        <w:spacing w:line="360" w:lineRule="auto"/>
        <w:jc w:val="both"/>
        <w:rPr>
          <w:rFonts w:ascii="Arial" w:hAnsi="Arial" w:cs="Arial"/>
          <w:color w:val="FF0000"/>
          <w:sz w:val="20"/>
          <w:szCs w:val="20"/>
        </w:rPr>
      </w:pPr>
    </w:p>
    <w:p w14:paraId="74814258" w14:textId="77777777" w:rsidR="001437F7" w:rsidRPr="00F82D83" w:rsidRDefault="0074766B" w:rsidP="0074766B">
      <w:pPr>
        <w:spacing w:line="360" w:lineRule="auto"/>
        <w:jc w:val="both"/>
        <w:rPr>
          <w:rFonts w:ascii="Arial" w:hAnsi="Arial" w:cs="Arial"/>
          <w:sz w:val="20"/>
          <w:szCs w:val="20"/>
        </w:rPr>
      </w:pPr>
      <w:r w:rsidRPr="00F82D83">
        <w:rPr>
          <w:rFonts w:ascii="Arial" w:hAnsi="Arial" w:cs="Arial"/>
          <w:b/>
          <w:sz w:val="20"/>
          <w:szCs w:val="20"/>
        </w:rPr>
        <w:t>Indicador: Porcentaje de proyectos de infraestructura que cumplen su etapa de operación</w:t>
      </w:r>
      <w:r w:rsidR="00867AC0" w:rsidRPr="00F82D83">
        <w:rPr>
          <w:rFonts w:ascii="Arial" w:hAnsi="Arial" w:cs="Arial"/>
          <w:b/>
          <w:sz w:val="20"/>
          <w:szCs w:val="20"/>
        </w:rPr>
        <w:t xml:space="preserve">: </w:t>
      </w:r>
      <w:r w:rsidR="001437F7" w:rsidRPr="00F82D83">
        <w:rPr>
          <w:rFonts w:ascii="Arial" w:hAnsi="Arial" w:cs="Arial"/>
          <w:sz w:val="20"/>
          <w:szCs w:val="20"/>
        </w:rPr>
        <w:t>Dentro de las causas que propiciaron el incumplimiento de la meta se incluyen:</w:t>
      </w:r>
    </w:p>
    <w:p w14:paraId="1DDB1EDC" w14:textId="77777777" w:rsidR="00867AC0" w:rsidRPr="00F82D83" w:rsidRDefault="00867AC0" w:rsidP="0074766B">
      <w:pPr>
        <w:spacing w:line="360" w:lineRule="auto"/>
        <w:jc w:val="both"/>
        <w:rPr>
          <w:rFonts w:ascii="Arial" w:hAnsi="Arial" w:cs="Arial"/>
          <w:sz w:val="20"/>
          <w:szCs w:val="20"/>
        </w:rPr>
      </w:pPr>
    </w:p>
    <w:p w14:paraId="7A3B9F2E" w14:textId="77777777" w:rsidR="0074766B" w:rsidRPr="00F82D83" w:rsidRDefault="0074766B" w:rsidP="00F82D83">
      <w:pPr>
        <w:pStyle w:val="Prrafodelista"/>
        <w:numPr>
          <w:ilvl w:val="0"/>
          <w:numId w:val="29"/>
        </w:numPr>
        <w:spacing w:line="360" w:lineRule="auto"/>
        <w:jc w:val="both"/>
        <w:rPr>
          <w:rFonts w:ascii="Arial" w:hAnsi="Arial" w:cs="Arial"/>
          <w:sz w:val="20"/>
          <w:szCs w:val="20"/>
        </w:rPr>
      </w:pPr>
      <w:r w:rsidRPr="00F82D83">
        <w:rPr>
          <w:rFonts w:ascii="Arial" w:hAnsi="Arial" w:cs="Arial"/>
          <w:sz w:val="20"/>
          <w:szCs w:val="20"/>
        </w:rPr>
        <w:t>Insuficiente flotilla de vehículos</w:t>
      </w:r>
      <w:r w:rsidR="009B51F6" w:rsidRPr="00F82D83">
        <w:rPr>
          <w:rFonts w:ascii="Arial" w:hAnsi="Arial" w:cs="Arial"/>
          <w:sz w:val="20"/>
          <w:szCs w:val="20"/>
        </w:rPr>
        <w:t>, vehículos no operativos</w:t>
      </w:r>
      <w:r w:rsidRPr="00F82D83">
        <w:rPr>
          <w:rFonts w:ascii="Arial" w:hAnsi="Arial" w:cs="Arial"/>
          <w:sz w:val="20"/>
          <w:szCs w:val="20"/>
        </w:rPr>
        <w:t xml:space="preserve"> y lo</w:t>
      </w:r>
      <w:r w:rsidR="009B51F6" w:rsidRPr="00F82D83">
        <w:rPr>
          <w:rFonts w:ascii="Arial" w:hAnsi="Arial" w:cs="Arial"/>
          <w:sz w:val="20"/>
          <w:szCs w:val="20"/>
        </w:rPr>
        <w:t>s</w:t>
      </w:r>
      <w:r w:rsidRPr="00F82D83">
        <w:rPr>
          <w:rFonts w:ascii="Arial" w:hAnsi="Arial" w:cs="Arial"/>
          <w:sz w:val="20"/>
          <w:szCs w:val="20"/>
        </w:rPr>
        <w:t xml:space="preserve"> existente</w:t>
      </w:r>
      <w:r w:rsidR="009B51F6" w:rsidRPr="00F82D83">
        <w:rPr>
          <w:rFonts w:ascii="Arial" w:hAnsi="Arial" w:cs="Arial"/>
          <w:sz w:val="20"/>
          <w:szCs w:val="20"/>
        </w:rPr>
        <w:t>s</w:t>
      </w:r>
      <w:r w:rsidRPr="00F82D83">
        <w:rPr>
          <w:rFonts w:ascii="Arial" w:hAnsi="Arial" w:cs="Arial"/>
          <w:sz w:val="20"/>
          <w:szCs w:val="20"/>
        </w:rPr>
        <w:t xml:space="preserve"> sufri</w:t>
      </w:r>
      <w:r w:rsidR="009B51F6" w:rsidRPr="00F82D83">
        <w:rPr>
          <w:rFonts w:ascii="Arial" w:hAnsi="Arial" w:cs="Arial"/>
          <w:sz w:val="20"/>
          <w:szCs w:val="20"/>
        </w:rPr>
        <w:t>eron</w:t>
      </w:r>
      <w:r w:rsidRPr="00F82D83">
        <w:rPr>
          <w:rFonts w:ascii="Arial" w:hAnsi="Arial" w:cs="Arial"/>
          <w:sz w:val="20"/>
          <w:szCs w:val="20"/>
        </w:rPr>
        <w:t xml:space="preserve"> durante el año algunas falencias adicionales al quedarnos sin contrato de mantenimiento.</w:t>
      </w:r>
    </w:p>
    <w:p w14:paraId="5C56AFEE" w14:textId="77777777" w:rsidR="0074766B" w:rsidRPr="00F82D83" w:rsidRDefault="00206817" w:rsidP="00F82D83">
      <w:pPr>
        <w:pStyle w:val="Prrafodelista"/>
        <w:numPr>
          <w:ilvl w:val="0"/>
          <w:numId w:val="29"/>
        </w:numPr>
        <w:spacing w:line="360" w:lineRule="auto"/>
        <w:jc w:val="both"/>
        <w:rPr>
          <w:rFonts w:ascii="Arial" w:hAnsi="Arial" w:cs="Arial"/>
          <w:sz w:val="20"/>
          <w:szCs w:val="20"/>
        </w:rPr>
      </w:pPr>
      <w:r w:rsidRPr="00F82D83">
        <w:rPr>
          <w:rFonts w:ascii="Arial" w:hAnsi="Arial" w:cs="Arial"/>
          <w:sz w:val="20"/>
          <w:szCs w:val="20"/>
        </w:rPr>
        <w:t>La c</w:t>
      </w:r>
      <w:r w:rsidR="0074766B" w:rsidRPr="00F82D83">
        <w:rPr>
          <w:rFonts w:ascii="Arial" w:hAnsi="Arial" w:cs="Arial"/>
          <w:sz w:val="20"/>
          <w:szCs w:val="20"/>
        </w:rPr>
        <w:t xml:space="preserve">arga de trabajo promedio por </w:t>
      </w:r>
      <w:r w:rsidRPr="00F82D83">
        <w:rPr>
          <w:rFonts w:ascii="Arial" w:hAnsi="Arial" w:cs="Arial"/>
          <w:sz w:val="20"/>
          <w:szCs w:val="20"/>
        </w:rPr>
        <w:t>cada P</w:t>
      </w:r>
      <w:r w:rsidR="0074766B" w:rsidRPr="00F82D83">
        <w:rPr>
          <w:rFonts w:ascii="Arial" w:hAnsi="Arial" w:cs="Arial"/>
          <w:sz w:val="20"/>
          <w:szCs w:val="20"/>
        </w:rPr>
        <w:t xml:space="preserve">romotor </w:t>
      </w:r>
      <w:r w:rsidRPr="00F82D83">
        <w:rPr>
          <w:rFonts w:ascii="Arial" w:hAnsi="Arial" w:cs="Arial"/>
          <w:sz w:val="20"/>
          <w:szCs w:val="20"/>
        </w:rPr>
        <w:t xml:space="preserve">de DINADECO es </w:t>
      </w:r>
      <w:r w:rsidR="0074766B" w:rsidRPr="00F82D83">
        <w:rPr>
          <w:rFonts w:ascii="Arial" w:hAnsi="Arial" w:cs="Arial"/>
          <w:sz w:val="20"/>
          <w:szCs w:val="20"/>
        </w:rPr>
        <w:t xml:space="preserve">muy alta de aproximadamente 130 Organizaciones de Desarrollo Comunal (ODC) con las cuales debe coordinar todos los procesos sustantivos de la institución </w:t>
      </w:r>
      <w:r w:rsidR="00D42C69" w:rsidRPr="00F82D83">
        <w:rPr>
          <w:rFonts w:ascii="Arial" w:hAnsi="Arial" w:cs="Arial"/>
          <w:sz w:val="20"/>
          <w:szCs w:val="20"/>
        </w:rPr>
        <w:t>referentes a los procesos de promoción, organización y fortalecimiento</w:t>
      </w:r>
      <w:r w:rsidR="0076089F" w:rsidRPr="00F82D83">
        <w:rPr>
          <w:rFonts w:ascii="Arial" w:hAnsi="Arial" w:cs="Arial"/>
          <w:sz w:val="20"/>
          <w:szCs w:val="20"/>
        </w:rPr>
        <w:t xml:space="preserve"> del sector comunal</w:t>
      </w:r>
      <w:r w:rsidR="0074766B" w:rsidRPr="00F82D83">
        <w:rPr>
          <w:rFonts w:ascii="Arial" w:hAnsi="Arial" w:cs="Arial"/>
          <w:sz w:val="20"/>
          <w:szCs w:val="20"/>
        </w:rPr>
        <w:t>.</w:t>
      </w:r>
    </w:p>
    <w:p w14:paraId="04A81FFF" w14:textId="77777777" w:rsidR="00A7188B" w:rsidRDefault="0074766B" w:rsidP="003C0838">
      <w:pPr>
        <w:pStyle w:val="Prrafodelista"/>
        <w:numPr>
          <w:ilvl w:val="0"/>
          <w:numId w:val="30"/>
        </w:numPr>
        <w:spacing w:line="360" w:lineRule="auto"/>
        <w:jc w:val="both"/>
        <w:rPr>
          <w:rFonts w:ascii="Arial" w:hAnsi="Arial" w:cs="Arial"/>
          <w:sz w:val="20"/>
          <w:szCs w:val="20"/>
        </w:rPr>
      </w:pPr>
      <w:r w:rsidRPr="00A7188B">
        <w:rPr>
          <w:rFonts w:ascii="Arial" w:hAnsi="Arial" w:cs="Arial"/>
          <w:sz w:val="20"/>
          <w:szCs w:val="20"/>
        </w:rPr>
        <w:t xml:space="preserve">Recorte en el presupuesto de horas extra y viáticos aplicado en el periodo 2018 con respeto al 2017.   </w:t>
      </w:r>
      <w:r w:rsidR="009B142B" w:rsidRPr="00A7188B">
        <w:rPr>
          <w:rFonts w:ascii="Arial" w:hAnsi="Arial" w:cs="Arial"/>
          <w:sz w:val="20"/>
          <w:szCs w:val="20"/>
        </w:rPr>
        <w:t>E</w:t>
      </w:r>
      <w:r w:rsidR="00CC16B0" w:rsidRPr="00A7188B">
        <w:rPr>
          <w:rFonts w:ascii="Arial" w:hAnsi="Arial" w:cs="Arial"/>
          <w:sz w:val="20"/>
          <w:szCs w:val="20"/>
        </w:rPr>
        <w:t xml:space="preserve">n el caso de las horas extra la reducción de la partida fue de un 50% </w:t>
      </w:r>
      <w:r w:rsidR="009B142B" w:rsidRPr="00A7188B">
        <w:rPr>
          <w:rFonts w:ascii="Arial" w:hAnsi="Arial" w:cs="Arial"/>
          <w:sz w:val="20"/>
          <w:szCs w:val="20"/>
        </w:rPr>
        <w:t xml:space="preserve">razón por la cual las Direcciones Regionales </w:t>
      </w:r>
      <w:r w:rsidR="00206817" w:rsidRPr="00A7188B">
        <w:rPr>
          <w:rFonts w:ascii="Arial" w:hAnsi="Arial" w:cs="Arial"/>
          <w:sz w:val="20"/>
          <w:szCs w:val="20"/>
        </w:rPr>
        <w:t>consumieron</w:t>
      </w:r>
      <w:r w:rsidR="009B142B" w:rsidRPr="00A7188B">
        <w:rPr>
          <w:rFonts w:ascii="Arial" w:hAnsi="Arial" w:cs="Arial"/>
          <w:sz w:val="20"/>
          <w:szCs w:val="20"/>
        </w:rPr>
        <w:t xml:space="preserve"> dicha partida entre julio y agosto de 2018.  Cabe señalar que para el 2019 se va a aplicar un recorte adicional al señalado hecho que </w:t>
      </w:r>
      <w:r w:rsidR="00206817" w:rsidRPr="00A7188B">
        <w:rPr>
          <w:rFonts w:ascii="Arial" w:hAnsi="Arial" w:cs="Arial"/>
          <w:sz w:val="20"/>
          <w:szCs w:val="20"/>
        </w:rPr>
        <w:t xml:space="preserve">va a </w:t>
      </w:r>
      <w:r w:rsidR="009B142B" w:rsidRPr="00A7188B">
        <w:rPr>
          <w:rFonts w:ascii="Arial" w:hAnsi="Arial" w:cs="Arial"/>
          <w:sz w:val="20"/>
          <w:szCs w:val="20"/>
        </w:rPr>
        <w:t>afectar gravemente la operación</w:t>
      </w:r>
      <w:r w:rsidR="00206817" w:rsidRPr="00A7188B">
        <w:rPr>
          <w:rFonts w:ascii="Arial" w:hAnsi="Arial" w:cs="Arial"/>
          <w:sz w:val="20"/>
          <w:szCs w:val="20"/>
        </w:rPr>
        <w:t xml:space="preserve"> del trabajo de campo y los resultados</w:t>
      </w:r>
      <w:r w:rsidR="009B142B" w:rsidRPr="00A7188B">
        <w:rPr>
          <w:rFonts w:ascii="Arial" w:hAnsi="Arial" w:cs="Arial"/>
          <w:sz w:val="20"/>
          <w:szCs w:val="20"/>
        </w:rPr>
        <w:t xml:space="preserve">.   </w:t>
      </w:r>
    </w:p>
    <w:p w14:paraId="40E027A5" w14:textId="77777777" w:rsidR="00BC59D4" w:rsidRPr="00A7188B" w:rsidRDefault="00BC59D4" w:rsidP="003C0838">
      <w:pPr>
        <w:pStyle w:val="Prrafodelista"/>
        <w:numPr>
          <w:ilvl w:val="0"/>
          <w:numId w:val="30"/>
        </w:numPr>
        <w:spacing w:line="360" w:lineRule="auto"/>
        <w:jc w:val="both"/>
        <w:rPr>
          <w:rFonts w:ascii="Arial" w:hAnsi="Arial" w:cs="Arial"/>
          <w:sz w:val="20"/>
          <w:szCs w:val="20"/>
        </w:rPr>
      </w:pPr>
      <w:r w:rsidRPr="00A7188B">
        <w:rPr>
          <w:rFonts w:ascii="Arial" w:hAnsi="Arial" w:cs="Arial"/>
          <w:sz w:val="20"/>
          <w:szCs w:val="20"/>
        </w:rPr>
        <w:t>La Procuraduría General de la República determinó que el tiempo de compensación era ilegal con lo cual no se puede reponer el tiempo invertido por los funcionarios fuera del horario de trabajo normal.  Es importante señalar que muc</w:t>
      </w:r>
      <w:r w:rsidR="00BA37F4" w:rsidRPr="00A7188B">
        <w:rPr>
          <w:rFonts w:ascii="Arial" w:hAnsi="Arial" w:cs="Arial"/>
          <w:sz w:val="20"/>
          <w:szCs w:val="20"/>
        </w:rPr>
        <w:t>hos</w:t>
      </w:r>
      <w:r w:rsidRPr="00A7188B">
        <w:rPr>
          <w:rFonts w:ascii="Arial" w:hAnsi="Arial" w:cs="Arial"/>
          <w:sz w:val="20"/>
          <w:szCs w:val="20"/>
        </w:rPr>
        <w:t xml:space="preserve"> de los proces</w:t>
      </w:r>
      <w:r w:rsidR="00BA37F4" w:rsidRPr="00A7188B">
        <w:rPr>
          <w:rFonts w:ascii="Arial" w:hAnsi="Arial" w:cs="Arial"/>
          <w:sz w:val="20"/>
          <w:szCs w:val="20"/>
        </w:rPr>
        <w:t>os de campo a realizar con las o</w:t>
      </w:r>
      <w:r w:rsidRPr="00A7188B">
        <w:rPr>
          <w:rFonts w:ascii="Arial" w:hAnsi="Arial" w:cs="Arial"/>
          <w:sz w:val="20"/>
          <w:szCs w:val="20"/>
        </w:rPr>
        <w:t>rganizaciones son fuera del horario de trabajo</w:t>
      </w:r>
      <w:r w:rsidR="00BA37F4" w:rsidRPr="00A7188B">
        <w:rPr>
          <w:rFonts w:ascii="Arial" w:hAnsi="Arial" w:cs="Arial"/>
          <w:sz w:val="20"/>
          <w:szCs w:val="20"/>
        </w:rPr>
        <w:t>,</w:t>
      </w:r>
      <w:r w:rsidRPr="00A7188B">
        <w:rPr>
          <w:rFonts w:ascii="Arial" w:hAnsi="Arial" w:cs="Arial"/>
          <w:sz w:val="20"/>
          <w:szCs w:val="20"/>
        </w:rPr>
        <w:t xml:space="preserve"> ya que las asambleas y reuniones con sus integrantes deben de realizarse fuera del horario</w:t>
      </w:r>
      <w:r w:rsidR="00BA37F4" w:rsidRPr="00A7188B">
        <w:rPr>
          <w:rFonts w:ascii="Arial" w:hAnsi="Arial" w:cs="Arial"/>
          <w:sz w:val="20"/>
          <w:szCs w:val="20"/>
        </w:rPr>
        <w:t xml:space="preserve"> normal </w:t>
      </w:r>
      <w:r w:rsidRPr="00A7188B">
        <w:rPr>
          <w:rFonts w:ascii="Arial" w:hAnsi="Arial" w:cs="Arial"/>
          <w:sz w:val="20"/>
          <w:szCs w:val="20"/>
        </w:rPr>
        <w:t>de trabajo o los fines de semana</w:t>
      </w:r>
      <w:r w:rsidR="00625C43" w:rsidRPr="00A7188B">
        <w:rPr>
          <w:rFonts w:ascii="Arial" w:hAnsi="Arial" w:cs="Arial"/>
          <w:sz w:val="20"/>
          <w:szCs w:val="20"/>
        </w:rPr>
        <w:t>,</w:t>
      </w:r>
      <w:r w:rsidRPr="00A7188B">
        <w:rPr>
          <w:rFonts w:ascii="Arial" w:hAnsi="Arial" w:cs="Arial"/>
          <w:sz w:val="20"/>
          <w:szCs w:val="20"/>
        </w:rPr>
        <w:t xml:space="preserve"> atendiendo a las necesidades de los ciudadanos que componen la ODC.</w:t>
      </w:r>
    </w:p>
    <w:p w14:paraId="725DACA5" w14:textId="77777777" w:rsidR="00E05924" w:rsidRPr="00F82D83" w:rsidRDefault="00E05924" w:rsidP="00F82D83">
      <w:pPr>
        <w:pStyle w:val="Prrafodelista"/>
        <w:numPr>
          <w:ilvl w:val="0"/>
          <w:numId w:val="30"/>
        </w:numPr>
        <w:spacing w:line="360" w:lineRule="auto"/>
        <w:jc w:val="both"/>
        <w:rPr>
          <w:rFonts w:ascii="Arial" w:hAnsi="Arial" w:cs="Arial"/>
          <w:sz w:val="20"/>
          <w:szCs w:val="20"/>
        </w:rPr>
      </w:pPr>
      <w:r w:rsidRPr="00F82D83">
        <w:rPr>
          <w:rFonts w:ascii="Arial" w:hAnsi="Arial" w:cs="Arial"/>
          <w:sz w:val="20"/>
          <w:szCs w:val="20"/>
        </w:rPr>
        <w:t xml:space="preserve">No existían instrumentos de gestión institucional por lo cual hubo que crearlos y se presentaron a través de la Circular DTO 620-2018 de agosto de 2018 con lo cual se instaura en DINADECO un sistema para el control y la ejecución de proyectos </w:t>
      </w:r>
      <w:r w:rsidRPr="00F82D83">
        <w:rPr>
          <w:rFonts w:ascii="Arial" w:hAnsi="Arial" w:cs="Arial"/>
          <w:sz w:val="20"/>
          <w:szCs w:val="20"/>
        </w:rPr>
        <w:lastRenderedPageBreak/>
        <w:t xml:space="preserve">presentados por las ODC.  Todo esto se documenta en el informe de labores final realizado por el </w:t>
      </w:r>
      <w:r w:rsidR="00206817" w:rsidRPr="00F82D83">
        <w:rPr>
          <w:rFonts w:ascii="Arial" w:hAnsi="Arial" w:cs="Arial"/>
          <w:sz w:val="20"/>
          <w:szCs w:val="20"/>
        </w:rPr>
        <w:t>director</w:t>
      </w:r>
      <w:r w:rsidRPr="00F82D83">
        <w:rPr>
          <w:rFonts w:ascii="Arial" w:hAnsi="Arial" w:cs="Arial"/>
          <w:sz w:val="20"/>
          <w:szCs w:val="20"/>
        </w:rPr>
        <w:t xml:space="preserve"> de la Dirección Técnica </w:t>
      </w:r>
      <w:r w:rsidR="00206817" w:rsidRPr="00F82D83">
        <w:rPr>
          <w:rFonts w:ascii="Arial" w:hAnsi="Arial" w:cs="Arial"/>
          <w:sz w:val="20"/>
          <w:szCs w:val="20"/>
        </w:rPr>
        <w:t>Operativa</w:t>
      </w:r>
      <w:r w:rsidRPr="00F82D83">
        <w:rPr>
          <w:rFonts w:ascii="Arial" w:hAnsi="Arial" w:cs="Arial"/>
          <w:sz w:val="20"/>
          <w:szCs w:val="20"/>
        </w:rPr>
        <w:t xml:space="preserve"> Alexander Martínez realizado en diciembre de 2018 con motivo de su traslado al INDER. </w:t>
      </w:r>
    </w:p>
    <w:p w14:paraId="0EB52FA1" w14:textId="77777777" w:rsidR="009B51F6" w:rsidRPr="00F82D83" w:rsidRDefault="009B51F6" w:rsidP="00F82D83">
      <w:pPr>
        <w:pStyle w:val="Prrafodelista"/>
        <w:numPr>
          <w:ilvl w:val="0"/>
          <w:numId w:val="30"/>
        </w:numPr>
        <w:spacing w:line="360" w:lineRule="auto"/>
        <w:jc w:val="both"/>
        <w:rPr>
          <w:rFonts w:ascii="Arial" w:hAnsi="Arial" w:cs="Arial"/>
          <w:sz w:val="20"/>
          <w:szCs w:val="20"/>
        </w:rPr>
      </w:pPr>
      <w:r w:rsidRPr="00F82D83">
        <w:rPr>
          <w:rFonts w:ascii="Arial" w:hAnsi="Arial" w:cs="Arial"/>
          <w:sz w:val="20"/>
          <w:szCs w:val="20"/>
        </w:rPr>
        <w:t>La prioridad en la gestión de la Dirección Técnica Operativa se orientó al fortalecimiento de los mecanismos de control de los procesos y operaciones realizadas nuevas más que en las pasadas.  Esto se fundamentó, además de en la necesidad de la mejora en la productividad y del aseguramiento de la calidad de la gestión, en el cumplimiento de las disposiciones emitidas por la Contraloría General de la República.</w:t>
      </w:r>
    </w:p>
    <w:p w14:paraId="57F0E65D" w14:textId="77777777" w:rsidR="0004568E" w:rsidRDefault="0004568E" w:rsidP="00F23A1B">
      <w:pPr>
        <w:spacing w:line="360" w:lineRule="auto"/>
        <w:jc w:val="both"/>
        <w:rPr>
          <w:rFonts w:ascii="Arial" w:hAnsi="Arial" w:cs="Arial"/>
          <w:sz w:val="20"/>
          <w:szCs w:val="20"/>
        </w:rPr>
      </w:pPr>
    </w:p>
    <w:p w14:paraId="4FC26470" w14:textId="77777777" w:rsidR="00502CFE" w:rsidRPr="00F82D83" w:rsidRDefault="00502CFE" w:rsidP="00F23A1B">
      <w:pPr>
        <w:spacing w:line="360" w:lineRule="auto"/>
        <w:jc w:val="both"/>
        <w:rPr>
          <w:rFonts w:ascii="Arial" w:hAnsi="Arial" w:cs="Arial"/>
          <w:sz w:val="20"/>
          <w:szCs w:val="20"/>
        </w:rPr>
      </w:pPr>
      <w:r w:rsidRPr="00F82D83">
        <w:rPr>
          <w:rFonts w:ascii="Arial" w:hAnsi="Arial" w:cs="Arial"/>
          <w:sz w:val="20"/>
          <w:szCs w:val="20"/>
        </w:rPr>
        <w:t xml:space="preserve">Cabe señalar que ya se había señalado en el informe final del año 2017 sobre los diversos factores que pueden afectar la realización de inspecciones en infraestructura, como los recortes a las partidas, aspectos de índole ambiental, así como disponibilidad de personal y la realización de otras actividades diversas atinentes al quehacer comunitario.  </w:t>
      </w:r>
    </w:p>
    <w:p w14:paraId="6F93F0AE" w14:textId="77777777" w:rsidR="00502CFE" w:rsidRPr="00F82D83" w:rsidRDefault="00502CFE" w:rsidP="009D4C1C">
      <w:pPr>
        <w:spacing w:line="360" w:lineRule="auto"/>
        <w:ind w:left="720"/>
        <w:jc w:val="both"/>
        <w:rPr>
          <w:rFonts w:ascii="Arial" w:hAnsi="Arial" w:cs="Arial"/>
          <w:bCs/>
          <w:sz w:val="20"/>
          <w:szCs w:val="20"/>
        </w:rPr>
      </w:pPr>
    </w:p>
    <w:p w14:paraId="198534CE" w14:textId="77777777" w:rsidR="0004568E" w:rsidRDefault="004D2A8D" w:rsidP="0004568E">
      <w:pPr>
        <w:spacing w:line="360" w:lineRule="auto"/>
        <w:jc w:val="both"/>
        <w:rPr>
          <w:rFonts w:ascii="Arial" w:hAnsi="Arial" w:cs="Arial"/>
          <w:sz w:val="20"/>
          <w:szCs w:val="20"/>
        </w:rPr>
      </w:pPr>
      <w:r w:rsidRPr="00F82D83">
        <w:rPr>
          <w:rFonts w:ascii="Arial" w:hAnsi="Arial" w:cs="Arial"/>
          <w:sz w:val="20"/>
          <w:szCs w:val="20"/>
        </w:rPr>
        <w:t>Los principales logros</w:t>
      </w:r>
      <w:r w:rsidR="00502CFE" w:rsidRPr="00F82D83">
        <w:rPr>
          <w:rFonts w:ascii="Arial" w:hAnsi="Arial" w:cs="Arial"/>
          <w:sz w:val="20"/>
          <w:szCs w:val="20"/>
        </w:rPr>
        <w:t xml:space="preserve"> </w:t>
      </w:r>
      <w:r w:rsidRPr="00F82D83">
        <w:rPr>
          <w:rFonts w:ascii="Arial" w:hAnsi="Arial" w:cs="Arial"/>
          <w:sz w:val="20"/>
          <w:szCs w:val="20"/>
        </w:rPr>
        <w:t xml:space="preserve">de las </w:t>
      </w:r>
      <w:r w:rsidR="00F3085A" w:rsidRPr="00F82D83">
        <w:rPr>
          <w:rFonts w:ascii="Arial" w:hAnsi="Arial" w:cs="Arial"/>
          <w:sz w:val="20"/>
          <w:szCs w:val="20"/>
        </w:rPr>
        <w:t xml:space="preserve">inspecciones </w:t>
      </w:r>
      <w:r w:rsidRPr="00F82D83">
        <w:rPr>
          <w:rFonts w:ascii="Arial" w:hAnsi="Arial" w:cs="Arial"/>
          <w:sz w:val="20"/>
          <w:szCs w:val="20"/>
        </w:rPr>
        <w:t xml:space="preserve">de los proyectos en operación son las verificaciones del funcionamiento de los </w:t>
      </w:r>
      <w:r w:rsidR="00502CFE" w:rsidRPr="00F82D83">
        <w:rPr>
          <w:rFonts w:ascii="Arial" w:hAnsi="Arial" w:cs="Arial"/>
          <w:sz w:val="20"/>
          <w:szCs w:val="20"/>
        </w:rPr>
        <w:t>proy</w:t>
      </w:r>
      <w:r w:rsidR="00820E6F" w:rsidRPr="00F82D83">
        <w:rPr>
          <w:rFonts w:ascii="Arial" w:hAnsi="Arial" w:cs="Arial"/>
          <w:sz w:val="20"/>
          <w:szCs w:val="20"/>
        </w:rPr>
        <w:t xml:space="preserve">ectos, </w:t>
      </w:r>
      <w:r w:rsidRPr="00F82D83">
        <w:rPr>
          <w:rFonts w:ascii="Arial" w:hAnsi="Arial" w:cs="Arial"/>
          <w:sz w:val="20"/>
          <w:szCs w:val="20"/>
        </w:rPr>
        <w:t xml:space="preserve">que estos </w:t>
      </w:r>
      <w:r w:rsidR="00820E6F" w:rsidRPr="00F82D83">
        <w:rPr>
          <w:rFonts w:ascii="Arial" w:hAnsi="Arial" w:cs="Arial"/>
          <w:sz w:val="20"/>
          <w:szCs w:val="20"/>
        </w:rPr>
        <w:t xml:space="preserve">estén cumpliendo con la misión </w:t>
      </w:r>
      <w:r w:rsidR="00F23A1B" w:rsidRPr="00F82D83">
        <w:rPr>
          <w:rFonts w:ascii="Arial" w:hAnsi="Arial" w:cs="Arial"/>
          <w:sz w:val="20"/>
          <w:szCs w:val="20"/>
        </w:rPr>
        <w:t xml:space="preserve">que los fundamentó y </w:t>
      </w:r>
      <w:r w:rsidRPr="00F82D83">
        <w:rPr>
          <w:rFonts w:ascii="Arial" w:hAnsi="Arial" w:cs="Arial"/>
          <w:sz w:val="20"/>
          <w:szCs w:val="20"/>
        </w:rPr>
        <w:t xml:space="preserve">que </w:t>
      </w:r>
      <w:r w:rsidR="00502CFE" w:rsidRPr="00F82D83">
        <w:rPr>
          <w:rFonts w:ascii="Arial" w:hAnsi="Arial" w:cs="Arial"/>
          <w:sz w:val="20"/>
          <w:szCs w:val="20"/>
        </w:rPr>
        <w:t xml:space="preserve">las </w:t>
      </w:r>
      <w:r w:rsidRPr="00F82D83">
        <w:rPr>
          <w:rFonts w:ascii="Arial" w:hAnsi="Arial" w:cs="Arial"/>
          <w:sz w:val="20"/>
          <w:szCs w:val="20"/>
        </w:rPr>
        <w:t xml:space="preserve">comunidades </w:t>
      </w:r>
      <w:r w:rsidR="00F23A1B" w:rsidRPr="00F82D83">
        <w:rPr>
          <w:rFonts w:ascii="Arial" w:hAnsi="Arial" w:cs="Arial"/>
          <w:sz w:val="20"/>
          <w:szCs w:val="20"/>
        </w:rPr>
        <w:t>perciban un seguimiento de la</w:t>
      </w:r>
      <w:r w:rsidR="00502CFE" w:rsidRPr="00F82D83">
        <w:rPr>
          <w:rFonts w:ascii="Arial" w:hAnsi="Arial" w:cs="Arial"/>
          <w:sz w:val="20"/>
          <w:szCs w:val="20"/>
        </w:rPr>
        <w:t xml:space="preserve"> gestión Dinadeco </w:t>
      </w:r>
      <w:r w:rsidR="00F23A1B" w:rsidRPr="00F82D83">
        <w:rPr>
          <w:rFonts w:ascii="Arial" w:hAnsi="Arial" w:cs="Arial"/>
          <w:sz w:val="20"/>
          <w:szCs w:val="20"/>
        </w:rPr>
        <w:t xml:space="preserve">en beneficio de la calidad </w:t>
      </w:r>
      <w:r w:rsidR="00502CFE" w:rsidRPr="00F82D83">
        <w:rPr>
          <w:rFonts w:ascii="Arial" w:hAnsi="Arial" w:cs="Arial"/>
          <w:sz w:val="20"/>
          <w:szCs w:val="20"/>
        </w:rPr>
        <w:t>de la obra</w:t>
      </w:r>
      <w:r w:rsidR="00F23A1B" w:rsidRPr="00F82D83">
        <w:rPr>
          <w:rFonts w:ascii="Arial" w:hAnsi="Arial" w:cs="Arial"/>
          <w:sz w:val="20"/>
          <w:szCs w:val="20"/>
        </w:rPr>
        <w:t xml:space="preserve">.  </w:t>
      </w:r>
      <w:r w:rsidR="00502CFE" w:rsidRPr="00F82D83">
        <w:rPr>
          <w:rFonts w:ascii="Arial" w:hAnsi="Arial" w:cs="Arial"/>
          <w:sz w:val="20"/>
          <w:szCs w:val="20"/>
        </w:rPr>
        <w:t xml:space="preserve"> </w:t>
      </w:r>
      <w:r w:rsidR="00F23A1B" w:rsidRPr="00F82D83">
        <w:rPr>
          <w:rFonts w:ascii="Arial" w:hAnsi="Arial" w:cs="Arial"/>
          <w:sz w:val="20"/>
          <w:szCs w:val="20"/>
        </w:rPr>
        <w:t>A</w:t>
      </w:r>
      <w:r w:rsidR="00F3085A" w:rsidRPr="00F82D83">
        <w:rPr>
          <w:rFonts w:ascii="Arial" w:hAnsi="Arial" w:cs="Arial"/>
          <w:sz w:val="20"/>
          <w:szCs w:val="20"/>
        </w:rPr>
        <w:t xml:space="preserve"> pesar de esto, la carencia de recursos ha ocasionado un efecto negativo en el indicador ya que para que este se cumpl</w:t>
      </w:r>
      <w:r w:rsidRPr="00F82D83">
        <w:rPr>
          <w:rFonts w:ascii="Arial" w:hAnsi="Arial" w:cs="Arial"/>
          <w:sz w:val="20"/>
          <w:szCs w:val="20"/>
        </w:rPr>
        <w:t>a</w:t>
      </w:r>
      <w:r w:rsidR="00F23A1B" w:rsidRPr="00F82D83">
        <w:rPr>
          <w:rFonts w:ascii="Arial" w:hAnsi="Arial" w:cs="Arial"/>
          <w:sz w:val="20"/>
          <w:szCs w:val="20"/>
        </w:rPr>
        <w:t xml:space="preserve"> </w:t>
      </w:r>
      <w:r w:rsidRPr="00F82D83">
        <w:rPr>
          <w:rFonts w:ascii="Arial" w:hAnsi="Arial" w:cs="Arial"/>
          <w:sz w:val="20"/>
          <w:szCs w:val="20"/>
        </w:rPr>
        <w:t xml:space="preserve">se debe cumplir con el </w:t>
      </w:r>
      <w:r w:rsidR="00F23A1B" w:rsidRPr="00F82D83">
        <w:rPr>
          <w:rFonts w:ascii="Arial" w:hAnsi="Arial" w:cs="Arial"/>
          <w:sz w:val="20"/>
          <w:szCs w:val="20"/>
        </w:rPr>
        <w:t xml:space="preserve">requisito administrativo de </w:t>
      </w:r>
      <w:r w:rsidR="00F3085A" w:rsidRPr="00F82D83">
        <w:rPr>
          <w:rFonts w:ascii="Arial" w:hAnsi="Arial" w:cs="Arial"/>
          <w:sz w:val="20"/>
          <w:szCs w:val="20"/>
        </w:rPr>
        <w:t>visitar la obra</w:t>
      </w:r>
      <w:r w:rsidR="00502CFE" w:rsidRPr="00F82D83">
        <w:rPr>
          <w:rFonts w:ascii="Arial" w:hAnsi="Arial" w:cs="Arial"/>
          <w:sz w:val="20"/>
          <w:szCs w:val="20"/>
        </w:rPr>
        <w:t>.</w:t>
      </w:r>
      <w:r w:rsidR="00F3085A" w:rsidRPr="00F82D83">
        <w:rPr>
          <w:rFonts w:ascii="Arial" w:hAnsi="Arial" w:cs="Arial"/>
          <w:sz w:val="20"/>
          <w:szCs w:val="20"/>
        </w:rPr>
        <w:t xml:space="preserve">  Sin embargo, </w:t>
      </w:r>
      <w:r w:rsidR="00F23A1B" w:rsidRPr="00F82D83">
        <w:rPr>
          <w:rFonts w:ascii="Arial" w:hAnsi="Arial" w:cs="Arial"/>
          <w:sz w:val="20"/>
          <w:szCs w:val="20"/>
        </w:rPr>
        <w:t xml:space="preserve">aunque no se realice esta inspección la obra ya está finalizada y funcionando; es por esto que las </w:t>
      </w:r>
      <w:r w:rsidR="00F3085A" w:rsidRPr="00F82D83">
        <w:rPr>
          <w:rFonts w:ascii="Arial" w:hAnsi="Arial" w:cs="Arial"/>
          <w:sz w:val="20"/>
          <w:szCs w:val="20"/>
        </w:rPr>
        <w:t xml:space="preserve">poblaciones </w:t>
      </w:r>
      <w:r w:rsidRPr="00F82D83">
        <w:rPr>
          <w:rFonts w:ascii="Arial" w:hAnsi="Arial" w:cs="Arial"/>
          <w:sz w:val="20"/>
          <w:szCs w:val="20"/>
        </w:rPr>
        <w:t xml:space="preserve">no se verán perjudicadas siempre, sino en los casos en los que </w:t>
      </w:r>
      <w:r w:rsidR="00F23A1B" w:rsidRPr="00F82D83">
        <w:rPr>
          <w:rFonts w:ascii="Arial" w:hAnsi="Arial" w:cs="Arial"/>
          <w:sz w:val="20"/>
          <w:szCs w:val="20"/>
        </w:rPr>
        <w:t>la obra presente problemas de calidad o defectos, o que no esté cumpliendo con la función para la que fue diseñada</w:t>
      </w:r>
      <w:r w:rsidR="00F3085A" w:rsidRPr="00F82D83">
        <w:rPr>
          <w:rFonts w:ascii="Arial" w:hAnsi="Arial" w:cs="Arial"/>
          <w:sz w:val="20"/>
          <w:szCs w:val="20"/>
        </w:rPr>
        <w:t>.</w:t>
      </w:r>
    </w:p>
    <w:p w14:paraId="26478466" w14:textId="77777777" w:rsidR="0004568E" w:rsidRDefault="0004568E" w:rsidP="0004568E">
      <w:pPr>
        <w:spacing w:line="360" w:lineRule="auto"/>
        <w:jc w:val="both"/>
        <w:rPr>
          <w:rFonts w:ascii="Arial" w:hAnsi="Arial" w:cs="Arial"/>
          <w:sz w:val="20"/>
          <w:szCs w:val="20"/>
        </w:rPr>
      </w:pPr>
    </w:p>
    <w:p w14:paraId="20AF146C" w14:textId="77777777" w:rsidR="00502CFE" w:rsidRPr="00F82D83" w:rsidRDefault="00502CFE" w:rsidP="0004568E">
      <w:pPr>
        <w:spacing w:line="360" w:lineRule="auto"/>
        <w:jc w:val="both"/>
        <w:rPr>
          <w:rFonts w:ascii="Arial" w:hAnsi="Arial" w:cs="Arial"/>
          <w:bCs/>
          <w:sz w:val="20"/>
          <w:szCs w:val="20"/>
        </w:rPr>
      </w:pPr>
      <w:r w:rsidRPr="00F82D83">
        <w:rPr>
          <w:rFonts w:ascii="Arial" w:hAnsi="Arial" w:cs="Arial"/>
          <w:bCs/>
          <w:sz w:val="20"/>
          <w:szCs w:val="20"/>
        </w:rPr>
        <w:t>Esta gestión se ha constituido en evidencia del cumplimiento del principio de evaluación de los programas de desarrollo de la comunidad, contemplado en la ya citada Ley constitutiva, lo cual está en consonancia con la función facilitadora de Dinadeco en la promoción, organización y fortalecimiento de las organizaciones de desarrollo comunal.</w:t>
      </w:r>
    </w:p>
    <w:p w14:paraId="77AF4521" w14:textId="77777777" w:rsidR="00502CFE" w:rsidRPr="00F82D83" w:rsidRDefault="00502CFE" w:rsidP="00A51551">
      <w:pPr>
        <w:spacing w:line="360" w:lineRule="auto"/>
        <w:jc w:val="both"/>
        <w:rPr>
          <w:rFonts w:ascii="Arial" w:hAnsi="Arial" w:cs="Arial"/>
          <w:b/>
          <w:sz w:val="20"/>
          <w:szCs w:val="20"/>
        </w:rPr>
      </w:pPr>
    </w:p>
    <w:p w14:paraId="19FBF149" w14:textId="77777777" w:rsidR="00A51551" w:rsidRPr="00F82D83" w:rsidRDefault="00A51551" w:rsidP="00A51551">
      <w:pPr>
        <w:spacing w:line="360" w:lineRule="auto"/>
        <w:jc w:val="both"/>
        <w:rPr>
          <w:rFonts w:ascii="Arial" w:hAnsi="Arial" w:cs="Arial"/>
          <w:sz w:val="20"/>
          <w:szCs w:val="20"/>
        </w:rPr>
      </w:pPr>
      <w:r w:rsidRPr="00F82D83">
        <w:rPr>
          <w:rFonts w:ascii="Arial" w:hAnsi="Arial" w:cs="Arial"/>
          <w:b/>
          <w:sz w:val="20"/>
          <w:szCs w:val="20"/>
        </w:rPr>
        <w:t>Indicador: Número de proyectos de desarrollo inclusivo ejecutados en los territorios priorizados y demás distritos, en los que se beneficien familias en condición de pobreza</w:t>
      </w:r>
      <w:r w:rsidR="00867AC0" w:rsidRPr="00F82D83">
        <w:rPr>
          <w:rFonts w:ascii="Arial" w:hAnsi="Arial" w:cs="Arial"/>
          <w:sz w:val="20"/>
          <w:szCs w:val="20"/>
        </w:rPr>
        <w:t>:</w:t>
      </w:r>
    </w:p>
    <w:p w14:paraId="71643F61" w14:textId="77777777" w:rsidR="008165A4" w:rsidRPr="00F82D83" w:rsidRDefault="008165A4" w:rsidP="00370D34">
      <w:pPr>
        <w:spacing w:line="360" w:lineRule="auto"/>
        <w:jc w:val="both"/>
        <w:rPr>
          <w:rFonts w:ascii="Arial" w:hAnsi="Arial" w:cs="Arial"/>
          <w:sz w:val="20"/>
          <w:szCs w:val="20"/>
        </w:rPr>
      </w:pPr>
    </w:p>
    <w:p w14:paraId="2DE05F7B" w14:textId="77777777" w:rsidR="00072D12" w:rsidRPr="00F82D83" w:rsidRDefault="0095592F" w:rsidP="00370D34">
      <w:pPr>
        <w:spacing w:line="360" w:lineRule="auto"/>
        <w:jc w:val="both"/>
        <w:rPr>
          <w:rFonts w:ascii="Arial" w:hAnsi="Arial" w:cs="Arial"/>
          <w:sz w:val="20"/>
          <w:szCs w:val="20"/>
        </w:rPr>
      </w:pPr>
      <w:r w:rsidRPr="00F82D83">
        <w:rPr>
          <w:rFonts w:ascii="Arial" w:hAnsi="Arial" w:cs="Arial"/>
          <w:sz w:val="20"/>
          <w:szCs w:val="20"/>
        </w:rPr>
        <w:t xml:space="preserve">El cumplimiento parcialmente efectivo </w:t>
      </w:r>
      <w:r w:rsidR="00370D34" w:rsidRPr="00F82D83">
        <w:rPr>
          <w:rFonts w:ascii="Arial" w:hAnsi="Arial" w:cs="Arial"/>
          <w:sz w:val="20"/>
          <w:szCs w:val="20"/>
        </w:rPr>
        <w:t xml:space="preserve">de </w:t>
      </w:r>
      <w:r w:rsidRPr="00F82D83">
        <w:rPr>
          <w:rFonts w:ascii="Arial" w:hAnsi="Arial" w:cs="Arial"/>
          <w:sz w:val="20"/>
          <w:szCs w:val="20"/>
        </w:rPr>
        <w:t>este indicador se ve relacionado</w:t>
      </w:r>
      <w:r w:rsidR="00370D34" w:rsidRPr="00F82D83">
        <w:rPr>
          <w:rFonts w:ascii="Arial" w:hAnsi="Arial" w:cs="Arial"/>
          <w:sz w:val="20"/>
          <w:szCs w:val="20"/>
        </w:rPr>
        <w:t xml:space="preserve"> con dos aspectos principales el primero de los cuales se relaciona con la </w:t>
      </w:r>
      <w:r w:rsidR="00C610D5" w:rsidRPr="00F82D83">
        <w:rPr>
          <w:rFonts w:ascii="Arial" w:hAnsi="Arial" w:cs="Arial"/>
          <w:sz w:val="20"/>
          <w:szCs w:val="20"/>
        </w:rPr>
        <w:t xml:space="preserve">capacidad de </w:t>
      </w:r>
      <w:r w:rsidR="00370D34" w:rsidRPr="00F82D83">
        <w:rPr>
          <w:rFonts w:ascii="Arial" w:hAnsi="Arial" w:cs="Arial"/>
          <w:sz w:val="20"/>
          <w:szCs w:val="20"/>
        </w:rPr>
        <w:t xml:space="preserve">gestión de la Dirección Técnica Operativa (DTO).  </w:t>
      </w:r>
    </w:p>
    <w:p w14:paraId="13BBB340" w14:textId="77777777" w:rsidR="00C610D5" w:rsidRPr="00F82D83" w:rsidRDefault="00370D34" w:rsidP="00370D34">
      <w:pPr>
        <w:spacing w:line="360" w:lineRule="auto"/>
        <w:jc w:val="both"/>
        <w:rPr>
          <w:rFonts w:ascii="Arial" w:hAnsi="Arial" w:cs="Arial"/>
          <w:sz w:val="20"/>
          <w:szCs w:val="20"/>
        </w:rPr>
      </w:pPr>
      <w:r w:rsidRPr="00F82D83">
        <w:rPr>
          <w:rFonts w:ascii="Arial" w:hAnsi="Arial" w:cs="Arial"/>
          <w:sz w:val="20"/>
          <w:szCs w:val="20"/>
        </w:rPr>
        <w:t xml:space="preserve">Tal y como se mencionó en el informe semestral la DTO ha realizado gestiones operativas hacia </w:t>
      </w:r>
      <w:r w:rsidR="00072D12" w:rsidRPr="00F82D83">
        <w:rPr>
          <w:rFonts w:ascii="Arial" w:hAnsi="Arial" w:cs="Arial"/>
          <w:sz w:val="20"/>
          <w:szCs w:val="20"/>
        </w:rPr>
        <w:t>las organizaciones</w:t>
      </w:r>
      <w:r w:rsidRPr="00F82D83">
        <w:rPr>
          <w:rFonts w:ascii="Arial" w:hAnsi="Arial" w:cs="Arial"/>
          <w:sz w:val="20"/>
          <w:szCs w:val="20"/>
        </w:rPr>
        <w:t xml:space="preserve">, para que finalicen los proyectos en el tiempo estipulado, presenten la </w:t>
      </w:r>
      <w:r w:rsidRPr="00F82D83">
        <w:rPr>
          <w:rFonts w:ascii="Arial" w:hAnsi="Arial" w:cs="Arial"/>
          <w:sz w:val="20"/>
          <w:szCs w:val="20"/>
        </w:rPr>
        <w:lastRenderedPageBreak/>
        <w:t xml:space="preserve">liquidación en forma adecuada y así cumplir con </w:t>
      </w:r>
      <w:r w:rsidR="00072D12" w:rsidRPr="00F82D83">
        <w:rPr>
          <w:rFonts w:ascii="Arial" w:hAnsi="Arial" w:cs="Arial"/>
          <w:sz w:val="20"/>
          <w:szCs w:val="20"/>
        </w:rPr>
        <w:t>las metas establecidas</w:t>
      </w:r>
      <w:r w:rsidRPr="00F82D83">
        <w:rPr>
          <w:rFonts w:ascii="Arial" w:hAnsi="Arial" w:cs="Arial"/>
          <w:sz w:val="20"/>
          <w:szCs w:val="20"/>
        </w:rPr>
        <w:t>.</w:t>
      </w:r>
      <w:r w:rsidR="00072D12" w:rsidRPr="00F82D83">
        <w:rPr>
          <w:rFonts w:ascii="Arial" w:hAnsi="Arial" w:cs="Arial"/>
          <w:sz w:val="20"/>
          <w:szCs w:val="20"/>
        </w:rPr>
        <w:t xml:space="preserve">  </w:t>
      </w:r>
      <w:r w:rsidRPr="00F82D83">
        <w:rPr>
          <w:rFonts w:ascii="Arial" w:hAnsi="Arial" w:cs="Arial"/>
          <w:sz w:val="20"/>
          <w:szCs w:val="20"/>
        </w:rPr>
        <w:t xml:space="preserve">Sin </w:t>
      </w:r>
      <w:r w:rsidR="00072D12" w:rsidRPr="00F82D83">
        <w:rPr>
          <w:rFonts w:ascii="Arial" w:hAnsi="Arial" w:cs="Arial"/>
          <w:sz w:val="20"/>
          <w:szCs w:val="20"/>
        </w:rPr>
        <w:t>embargo,</w:t>
      </w:r>
      <w:r w:rsidRPr="00F82D83">
        <w:rPr>
          <w:rFonts w:ascii="Arial" w:hAnsi="Arial" w:cs="Arial"/>
          <w:sz w:val="20"/>
          <w:szCs w:val="20"/>
        </w:rPr>
        <w:t xml:space="preserve"> al carecer </w:t>
      </w:r>
      <w:r w:rsidR="00072D12" w:rsidRPr="00F82D83">
        <w:rPr>
          <w:rFonts w:ascii="Arial" w:hAnsi="Arial" w:cs="Arial"/>
          <w:sz w:val="20"/>
          <w:szCs w:val="20"/>
        </w:rPr>
        <w:t xml:space="preserve">la DTO </w:t>
      </w:r>
      <w:r w:rsidRPr="00F82D83">
        <w:rPr>
          <w:rFonts w:ascii="Arial" w:hAnsi="Arial" w:cs="Arial"/>
          <w:sz w:val="20"/>
          <w:szCs w:val="20"/>
        </w:rPr>
        <w:t xml:space="preserve">de instrumentos de gestión y un sistema de control </w:t>
      </w:r>
      <w:r w:rsidR="00072D12" w:rsidRPr="00F82D83">
        <w:rPr>
          <w:rFonts w:ascii="Arial" w:hAnsi="Arial" w:cs="Arial"/>
          <w:sz w:val="20"/>
          <w:szCs w:val="20"/>
        </w:rPr>
        <w:t xml:space="preserve">adecuado, se decidió orientar las prioridades a la creación de las </w:t>
      </w:r>
      <w:r w:rsidRPr="00F82D83">
        <w:rPr>
          <w:rFonts w:ascii="Arial" w:hAnsi="Arial" w:cs="Arial"/>
          <w:sz w:val="20"/>
          <w:szCs w:val="20"/>
        </w:rPr>
        <w:t xml:space="preserve">medidas correctivas que se mencionan en los puntos 5 y 6 del apartado anterior.  </w:t>
      </w:r>
    </w:p>
    <w:p w14:paraId="22D84F41" w14:textId="77777777" w:rsidR="00867AC0" w:rsidRPr="00F82D83" w:rsidRDefault="00867AC0" w:rsidP="00370D34">
      <w:pPr>
        <w:spacing w:line="360" w:lineRule="auto"/>
        <w:jc w:val="both"/>
        <w:rPr>
          <w:rFonts w:ascii="Arial" w:hAnsi="Arial" w:cs="Arial"/>
          <w:sz w:val="20"/>
          <w:szCs w:val="20"/>
        </w:rPr>
      </w:pPr>
    </w:p>
    <w:p w14:paraId="5F654282" w14:textId="77777777" w:rsidR="00370D34" w:rsidRPr="00F82D83" w:rsidRDefault="00C610D5" w:rsidP="00370D34">
      <w:pPr>
        <w:spacing w:line="360" w:lineRule="auto"/>
        <w:jc w:val="both"/>
        <w:rPr>
          <w:rFonts w:ascii="Arial" w:hAnsi="Arial" w:cs="Arial"/>
          <w:sz w:val="20"/>
          <w:szCs w:val="20"/>
        </w:rPr>
      </w:pPr>
      <w:r w:rsidRPr="00F82D83">
        <w:rPr>
          <w:rFonts w:ascii="Arial" w:hAnsi="Arial" w:cs="Arial"/>
          <w:sz w:val="20"/>
          <w:szCs w:val="20"/>
        </w:rPr>
        <w:t xml:space="preserve">Un aspecto más relacionado con la operación tuvo que ver con </w:t>
      </w:r>
      <w:r w:rsidR="00072D12" w:rsidRPr="00F82D83">
        <w:rPr>
          <w:rFonts w:ascii="Arial" w:hAnsi="Arial" w:cs="Arial"/>
          <w:sz w:val="20"/>
          <w:szCs w:val="20"/>
        </w:rPr>
        <w:t>la insuficiente cantidad de recursos y situaciones presentadas en los puntos del 1 al 4 también afectaron el logro de este indicador.</w:t>
      </w:r>
    </w:p>
    <w:p w14:paraId="4AB56385" w14:textId="77777777" w:rsidR="00867AC0" w:rsidRPr="00F82D83" w:rsidRDefault="00867AC0" w:rsidP="00370D34">
      <w:pPr>
        <w:spacing w:line="360" w:lineRule="auto"/>
        <w:jc w:val="both"/>
        <w:rPr>
          <w:rFonts w:ascii="Arial" w:hAnsi="Arial" w:cs="Arial"/>
          <w:sz w:val="20"/>
          <w:szCs w:val="20"/>
        </w:rPr>
      </w:pPr>
    </w:p>
    <w:p w14:paraId="2BB7CD8B" w14:textId="77777777" w:rsidR="00C610D5" w:rsidRPr="00F82D83" w:rsidRDefault="00C610D5" w:rsidP="00C610D5">
      <w:pPr>
        <w:spacing w:line="360" w:lineRule="auto"/>
        <w:jc w:val="both"/>
        <w:rPr>
          <w:rFonts w:ascii="Arial" w:hAnsi="Arial" w:cs="Arial"/>
          <w:sz w:val="20"/>
          <w:szCs w:val="20"/>
        </w:rPr>
      </w:pPr>
      <w:r w:rsidRPr="00F82D83">
        <w:rPr>
          <w:rFonts w:ascii="Arial" w:hAnsi="Arial" w:cs="Arial"/>
          <w:sz w:val="20"/>
          <w:szCs w:val="20"/>
        </w:rPr>
        <w:t xml:space="preserve">Esto se reflejó directamente en las metas del PND 2015-2018 donde se alcanzó un 83.13% de la meta del periodo, sin embargo, al analizar </w:t>
      </w:r>
      <w:r w:rsidR="00C55E84" w:rsidRPr="00F82D83">
        <w:rPr>
          <w:rFonts w:ascii="Arial" w:hAnsi="Arial" w:cs="Arial"/>
          <w:sz w:val="20"/>
          <w:szCs w:val="20"/>
        </w:rPr>
        <w:t xml:space="preserve">únicamente </w:t>
      </w:r>
      <w:r w:rsidRPr="00F82D83">
        <w:rPr>
          <w:rFonts w:ascii="Arial" w:hAnsi="Arial" w:cs="Arial"/>
          <w:sz w:val="20"/>
          <w:szCs w:val="20"/>
        </w:rPr>
        <w:t>los primeros tres años el alcance de la meta fue de poco menos un cien por ciento.  No fue hasta el año 201</w:t>
      </w:r>
      <w:r w:rsidR="00C55E84" w:rsidRPr="00F82D83">
        <w:rPr>
          <w:rFonts w:ascii="Arial" w:hAnsi="Arial" w:cs="Arial"/>
          <w:sz w:val="20"/>
          <w:szCs w:val="20"/>
        </w:rPr>
        <w:t>8</w:t>
      </w:r>
      <w:r w:rsidR="005E3276" w:rsidRPr="00F82D83">
        <w:rPr>
          <w:rFonts w:ascii="Arial" w:hAnsi="Arial" w:cs="Arial"/>
          <w:sz w:val="20"/>
          <w:szCs w:val="20"/>
        </w:rPr>
        <w:t xml:space="preserve"> que la meta cayó hasta un 54</w:t>
      </w:r>
      <w:r w:rsidRPr="00F82D83">
        <w:rPr>
          <w:rFonts w:ascii="Arial" w:hAnsi="Arial" w:cs="Arial"/>
          <w:sz w:val="20"/>
          <w:szCs w:val="20"/>
        </w:rPr>
        <w:t>% debido a los recortes en los gastos operativos que afectaron directamente la capacidad de gestión en el trabajo de campo.</w:t>
      </w:r>
    </w:p>
    <w:p w14:paraId="45551A5F" w14:textId="77777777" w:rsidR="00370D34" w:rsidRPr="00F82D83" w:rsidRDefault="00370D34" w:rsidP="00A51551">
      <w:pPr>
        <w:spacing w:line="360" w:lineRule="auto"/>
        <w:jc w:val="both"/>
        <w:rPr>
          <w:rFonts w:ascii="Arial" w:hAnsi="Arial" w:cs="Arial"/>
          <w:sz w:val="20"/>
          <w:szCs w:val="20"/>
        </w:rPr>
      </w:pPr>
    </w:p>
    <w:p w14:paraId="6CE19649" w14:textId="77777777" w:rsidR="00072D12" w:rsidRPr="00F82D83" w:rsidRDefault="00370D34" w:rsidP="00A51551">
      <w:pPr>
        <w:spacing w:line="360" w:lineRule="auto"/>
        <w:jc w:val="both"/>
        <w:rPr>
          <w:rFonts w:ascii="Arial" w:hAnsi="Arial" w:cs="Arial"/>
          <w:sz w:val="20"/>
          <w:szCs w:val="20"/>
        </w:rPr>
      </w:pPr>
      <w:r w:rsidRPr="00F82D83">
        <w:rPr>
          <w:rFonts w:ascii="Arial" w:hAnsi="Arial" w:cs="Arial"/>
          <w:sz w:val="20"/>
          <w:szCs w:val="20"/>
        </w:rPr>
        <w:t xml:space="preserve">El segundo aspecto se relaciona </w:t>
      </w:r>
      <w:r w:rsidR="00072D12" w:rsidRPr="00F82D83">
        <w:rPr>
          <w:rFonts w:ascii="Arial" w:hAnsi="Arial" w:cs="Arial"/>
          <w:sz w:val="20"/>
          <w:szCs w:val="20"/>
        </w:rPr>
        <w:t xml:space="preserve">con limitaciones formales que existen en los requisitos de la liquidación de proyectos.  </w:t>
      </w:r>
    </w:p>
    <w:p w14:paraId="254F5E51" w14:textId="77777777" w:rsidR="00867AC0" w:rsidRPr="00F82D83" w:rsidRDefault="00867AC0" w:rsidP="00A51551">
      <w:pPr>
        <w:spacing w:line="360" w:lineRule="auto"/>
        <w:jc w:val="both"/>
        <w:rPr>
          <w:rFonts w:ascii="Arial" w:hAnsi="Arial" w:cs="Arial"/>
          <w:sz w:val="20"/>
          <w:szCs w:val="20"/>
        </w:rPr>
      </w:pPr>
    </w:p>
    <w:p w14:paraId="70E1FD33" w14:textId="77777777" w:rsidR="00D42C69" w:rsidRPr="00F82D83" w:rsidRDefault="00D42C69" w:rsidP="00A51551">
      <w:pPr>
        <w:spacing w:line="360" w:lineRule="auto"/>
        <w:jc w:val="both"/>
        <w:rPr>
          <w:rFonts w:ascii="Arial" w:hAnsi="Arial" w:cs="Arial"/>
          <w:sz w:val="20"/>
          <w:szCs w:val="20"/>
        </w:rPr>
      </w:pPr>
      <w:r w:rsidRPr="00F82D83">
        <w:rPr>
          <w:rFonts w:ascii="Arial" w:hAnsi="Arial" w:cs="Arial"/>
          <w:sz w:val="20"/>
          <w:szCs w:val="20"/>
        </w:rPr>
        <w:t>Según la revisión de la información de todo el subconjunto de proyectos que clasifican para este indicador se encontró que existe</w:t>
      </w:r>
      <w:r w:rsidR="00BD4471" w:rsidRPr="00F82D83">
        <w:rPr>
          <w:rFonts w:ascii="Arial" w:hAnsi="Arial" w:cs="Arial"/>
          <w:sz w:val="20"/>
          <w:szCs w:val="20"/>
        </w:rPr>
        <w:t xml:space="preserve"> una gran cantidad de</w:t>
      </w:r>
      <w:r w:rsidRPr="00F82D83">
        <w:rPr>
          <w:rFonts w:ascii="Arial" w:hAnsi="Arial" w:cs="Arial"/>
          <w:sz w:val="20"/>
          <w:szCs w:val="20"/>
        </w:rPr>
        <w:t xml:space="preserve"> proyectos de Organizaciones de desarrollo Comunal (ODC) pendientes de presentar liquidación.  </w:t>
      </w:r>
      <w:r w:rsidR="00C154F6" w:rsidRPr="00F82D83">
        <w:rPr>
          <w:rFonts w:ascii="Arial" w:hAnsi="Arial" w:cs="Arial"/>
          <w:sz w:val="20"/>
          <w:szCs w:val="20"/>
        </w:rPr>
        <w:t>Aunado a estas</w:t>
      </w:r>
      <w:r w:rsidRPr="00F82D83">
        <w:rPr>
          <w:rFonts w:ascii="Arial" w:hAnsi="Arial" w:cs="Arial"/>
          <w:sz w:val="20"/>
          <w:szCs w:val="20"/>
        </w:rPr>
        <w:t xml:space="preserve">, existen </w:t>
      </w:r>
      <w:r w:rsidR="00BD4471" w:rsidRPr="00F82D83">
        <w:rPr>
          <w:rFonts w:ascii="Arial" w:hAnsi="Arial" w:cs="Arial"/>
          <w:sz w:val="20"/>
          <w:szCs w:val="20"/>
        </w:rPr>
        <w:t xml:space="preserve">proyectos </w:t>
      </w:r>
      <w:r w:rsidRPr="00F82D83">
        <w:rPr>
          <w:rFonts w:ascii="Arial" w:hAnsi="Arial" w:cs="Arial"/>
          <w:sz w:val="20"/>
          <w:szCs w:val="20"/>
        </w:rPr>
        <w:t xml:space="preserve">de Organizaciones que presentaron su liquidación, pero tienen pendiente alguna factura o documento por lo cual se les solicitó presentar el Subsane correspondiente y este no fue presentado.  Por este motivo dicho proyecto </w:t>
      </w:r>
      <w:r w:rsidRPr="00F82D83">
        <w:rPr>
          <w:rFonts w:ascii="Arial" w:hAnsi="Arial" w:cs="Arial"/>
          <w:sz w:val="20"/>
          <w:szCs w:val="20"/>
          <w:u w:val="single"/>
        </w:rPr>
        <w:t>no puede ser liquidado</w:t>
      </w:r>
      <w:r w:rsidRPr="00F82D83">
        <w:rPr>
          <w:rFonts w:ascii="Arial" w:hAnsi="Arial" w:cs="Arial"/>
          <w:sz w:val="20"/>
          <w:szCs w:val="20"/>
        </w:rPr>
        <w:t xml:space="preserve"> debido a que la liquidación tiene que ser presentada total completa de una sola vez.</w:t>
      </w:r>
    </w:p>
    <w:p w14:paraId="28BB7B13" w14:textId="77777777" w:rsidR="00867AC0" w:rsidRPr="00F82D83" w:rsidRDefault="00867AC0" w:rsidP="00A51551">
      <w:pPr>
        <w:spacing w:line="360" w:lineRule="auto"/>
        <w:jc w:val="both"/>
        <w:rPr>
          <w:rFonts w:ascii="Arial" w:hAnsi="Arial" w:cs="Arial"/>
          <w:sz w:val="20"/>
          <w:szCs w:val="20"/>
        </w:rPr>
      </w:pPr>
    </w:p>
    <w:p w14:paraId="3B6D50F5" w14:textId="77777777" w:rsidR="00BA5A88" w:rsidRPr="00F82D83" w:rsidRDefault="004F7C30" w:rsidP="00A51551">
      <w:pPr>
        <w:spacing w:line="360" w:lineRule="auto"/>
        <w:jc w:val="both"/>
        <w:rPr>
          <w:rFonts w:ascii="Arial" w:hAnsi="Arial" w:cs="Arial"/>
          <w:sz w:val="20"/>
          <w:szCs w:val="20"/>
        </w:rPr>
      </w:pPr>
      <w:r w:rsidRPr="00F82D83">
        <w:rPr>
          <w:rFonts w:ascii="Arial" w:hAnsi="Arial" w:cs="Arial"/>
          <w:sz w:val="20"/>
          <w:szCs w:val="20"/>
        </w:rPr>
        <w:t xml:space="preserve">Dichos requisitos para presentar la liquidación implican que por la falta de una única factura </w:t>
      </w:r>
      <w:r w:rsidR="00F24BD0" w:rsidRPr="00F82D83">
        <w:rPr>
          <w:rFonts w:ascii="Arial" w:hAnsi="Arial" w:cs="Arial"/>
          <w:sz w:val="20"/>
          <w:szCs w:val="20"/>
        </w:rPr>
        <w:t xml:space="preserve">o de un </w:t>
      </w:r>
      <w:r w:rsidRPr="00F82D83">
        <w:rPr>
          <w:rFonts w:ascii="Arial" w:hAnsi="Arial" w:cs="Arial"/>
          <w:sz w:val="20"/>
          <w:szCs w:val="20"/>
        </w:rPr>
        <w:t>monto</w:t>
      </w:r>
      <w:r w:rsidR="00F24BD0" w:rsidRPr="00F82D83">
        <w:rPr>
          <w:rFonts w:ascii="Arial" w:hAnsi="Arial" w:cs="Arial"/>
          <w:sz w:val="20"/>
          <w:szCs w:val="20"/>
        </w:rPr>
        <w:t xml:space="preserve"> monetario</w:t>
      </w:r>
      <w:r w:rsidRPr="00F82D83">
        <w:rPr>
          <w:rFonts w:ascii="Arial" w:hAnsi="Arial" w:cs="Arial"/>
          <w:sz w:val="20"/>
          <w:szCs w:val="20"/>
        </w:rPr>
        <w:t xml:space="preserve"> </w:t>
      </w:r>
      <w:r w:rsidR="00F24BD0" w:rsidRPr="00F82D83">
        <w:rPr>
          <w:rFonts w:ascii="Arial" w:hAnsi="Arial" w:cs="Arial"/>
          <w:sz w:val="20"/>
          <w:szCs w:val="20"/>
        </w:rPr>
        <w:t xml:space="preserve">muy pequeño, </w:t>
      </w:r>
      <w:r w:rsidRPr="00F82D83">
        <w:rPr>
          <w:rFonts w:ascii="Arial" w:hAnsi="Arial" w:cs="Arial"/>
          <w:sz w:val="20"/>
          <w:szCs w:val="20"/>
        </w:rPr>
        <w:t xml:space="preserve">no se pueda llegar a liquidar un proyecto organizado por una ODC.  Esto a su vez implica </w:t>
      </w:r>
      <w:r w:rsidR="009017E1" w:rsidRPr="00F82D83">
        <w:rPr>
          <w:rFonts w:ascii="Arial" w:hAnsi="Arial" w:cs="Arial"/>
          <w:sz w:val="20"/>
          <w:szCs w:val="20"/>
        </w:rPr>
        <w:t>que,</w:t>
      </w:r>
      <w:r w:rsidRPr="00F82D83">
        <w:rPr>
          <w:rFonts w:ascii="Arial" w:hAnsi="Arial" w:cs="Arial"/>
          <w:sz w:val="20"/>
          <w:szCs w:val="20"/>
        </w:rPr>
        <w:t xml:space="preserve"> al no liquidar un proyecto, dicha </w:t>
      </w:r>
      <w:r w:rsidR="00F24BD0" w:rsidRPr="00F82D83">
        <w:rPr>
          <w:rFonts w:ascii="Arial" w:hAnsi="Arial" w:cs="Arial"/>
          <w:sz w:val="20"/>
          <w:szCs w:val="20"/>
        </w:rPr>
        <w:t>organización</w:t>
      </w:r>
      <w:r w:rsidRPr="00F82D83">
        <w:rPr>
          <w:rFonts w:ascii="Arial" w:hAnsi="Arial" w:cs="Arial"/>
          <w:sz w:val="20"/>
          <w:szCs w:val="20"/>
        </w:rPr>
        <w:t xml:space="preserve"> no será elegible </w:t>
      </w:r>
      <w:r w:rsidR="009017E1" w:rsidRPr="00F82D83">
        <w:rPr>
          <w:rFonts w:ascii="Arial" w:hAnsi="Arial" w:cs="Arial"/>
          <w:sz w:val="20"/>
          <w:szCs w:val="20"/>
        </w:rPr>
        <w:t>dentro del fondo de proyectos nuevamente</w:t>
      </w:r>
      <w:r w:rsidRPr="00F82D83">
        <w:rPr>
          <w:rFonts w:ascii="Arial" w:hAnsi="Arial" w:cs="Arial"/>
          <w:sz w:val="20"/>
          <w:szCs w:val="20"/>
        </w:rPr>
        <w:t xml:space="preserve"> y además no será beneficiaria del fondo por girar </w:t>
      </w:r>
      <w:r w:rsidR="009017E1" w:rsidRPr="00F82D83">
        <w:rPr>
          <w:rFonts w:ascii="Arial" w:hAnsi="Arial" w:cs="Arial"/>
          <w:sz w:val="20"/>
          <w:szCs w:val="20"/>
        </w:rPr>
        <w:t xml:space="preserve">destinado por </w:t>
      </w:r>
      <w:r w:rsidRPr="00F82D83">
        <w:rPr>
          <w:rFonts w:ascii="Arial" w:hAnsi="Arial" w:cs="Arial"/>
          <w:sz w:val="20"/>
          <w:szCs w:val="20"/>
        </w:rPr>
        <w:t xml:space="preserve">Ley </w:t>
      </w:r>
      <w:r w:rsidR="009017E1" w:rsidRPr="00F82D83">
        <w:rPr>
          <w:rFonts w:ascii="Arial" w:hAnsi="Arial" w:cs="Arial"/>
          <w:sz w:val="20"/>
          <w:szCs w:val="20"/>
        </w:rPr>
        <w:t xml:space="preserve">anualmente a las Asociaciones de Desarrollo debidamente constituidas y legalizadas. </w:t>
      </w:r>
    </w:p>
    <w:p w14:paraId="6BC7A4A9" w14:textId="77777777" w:rsidR="00867AC0" w:rsidRPr="00F82D83" w:rsidRDefault="00867AC0" w:rsidP="00A51551">
      <w:pPr>
        <w:spacing w:line="360" w:lineRule="auto"/>
        <w:jc w:val="both"/>
        <w:rPr>
          <w:rFonts w:ascii="Arial" w:hAnsi="Arial" w:cs="Arial"/>
          <w:sz w:val="20"/>
          <w:szCs w:val="20"/>
        </w:rPr>
      </w:pPr>
    </w:p>
    <w:p w14:paraId="6504E98B" w14:textId="77777777" w:rsidR="009017E1" w:rsidRPr="00F82D83" w:rsidRDefault="00D22012" w:rsidP="00A51551">
      <w:pPr>
        <w:spacing w:line="360" w:lineRule="auto"/>
        <w:jc w:val="both"/>
        <w:rPr>
          <w:rFonts w:ascii="Arial" w:hAnsi="Arial" w:cs="Arial"/>
          <w:sz w:val="20"/>
          <w:szCs w:val="20"/>
        </w:rPr>
      </w:pPr>
      <w:r w:rsidRPr="00F82D83">
        <w:rPr>
          <w:rFonts w:ascii="Arial" w:hAnsi="Arial" w:cs="Arial"/>
          <w:sz w:val="20"/>
          <w:szCs w:val="20"/>
        </w:rPr>
        <w:t xml:space="preserve">Se han presentado casos en los cuales </w:t>
      </w:r>
      <w:r w:rsidR="00F24BD0" w:rsidRPr="00F82D83">
        <w:rPr>
          <w:rFonts w:ascii="Arial" w:hAnsi="Arial" w:cs="Arial"/>
          <w:sz w:val="20"/>
          <w:szCs w:val="20"/>
        </w:rPr>
        <w:t>algunas organizaciones</w:t>
      </w:r>
      <w:r w:rsidRPr="00F82D83">
        <w:rPr>
          <w:rFonts w:ascii="Arial" w:hAnsi="Arial" w:cs="Arial"/>
          <w:sz w:val="20"/>
          <w:szCs w:val="20"/>
        </w:rPr>
        <w:t xml:space="preserve"> carecen de una factura debido a eventos naturales tales como inundaciones</w:t>
      </w:r>
      <w:r w:rsidR="00F24BD0" w:rsidRPr="00F82D83">
        <w:rPr>
          <w:rFonts w:ascii="Arial" w:hAnsi="Arial" w:cs="Arial"/>
          <w:sz w:val="20"/>
          <w:szCs w:val="20"/>
        </w:rPr>
        <w:t>, pérdida, hurto</w:t>
      </w:r>
      <w:r w:rsidRPr="00F82D83">
        <w:rPr>
          <w:rFonts w:ascii="Arial" w:hAnsi="Arial" w:cs="Arial"/>
          <w:sz w:val="20"/>
          <w:szCs w:val="20"/>
        </w:rPr>
        <w:t xml:space="preserve"> u otros</w:t>
      </w:r>
      <w:r w:rsidR="00F24BD0" w:rsidRPr="00F82D83">
        <w:rPr>
          <w:rFonts w:ascii="Arial" w:hAnsi="Arial" w:cs="Arial"/>
          <w:sz w:val="20"/>
          <w:szCs w:val="20"/>
        </w:rPr>
        <w:t xml:space="preserve"> motivos</w:t>
      </w:r>
      <w:r w:rsidRPr="00F82D83">
        <w:rPr>
          <w:rFonts w:ascii="Arial" w:hAnsi="Arial" w:cs="Arial"/>
          <w:sz w:val="20"/>
          <w:szCs w:val="20"/>
        </w:rPr>
        <w:t xml:space="preserve"> y por est</w:t>
      </w:r>
      <w:r w:rsidR="00F24BD0" w:rsidRPr="00F82D83">
        <w:rPr>
          <w:rFonts w:ascii="Arial" w:hAnsi="Arial" w:cs="Arial"/>
          <w:sz w:val="20"/>
          <w:szCs w:val="20"/>
        </w:rPr>
        <w:t xml:space="preserve">o </w:t>
      </w:r>
      <w:r w:rsidRPr="00F82D83">
        <w:rPr>
          <w:rFonts w:ascii="Arial" w:hAnsi="Arial" w:cs="Arial"/>
          <w:sz w:val="20"/>
          <w:szCs w:val="20"/>
        </w:rPr>
        <w:t>se ven imposibilitadas de liquidar parcialmente</w:t>
      </w:r>
      <w:r w:rsidR="00F24BD0" w:rsidRPr="00F82D83">
        <w:rPr>
          <w:rFonts w:ascii="Arial" w:hAnsi="Arial" w:cs="Arial"/>
          <w:sz w:val="20"/>
          <w:szCs w:val="20"/>
        </w:rPr>
        <w:t xml:space="preserve">, aún por pequeño sea el monto o la cantidad de documentos faltantes </w:t>
      </w:r>
      <w:r w:rsidRPr="00F82D83">
        <w:rPr>
          <w:rFonts w:ascii="Arial" w:hAnsi="Arial" w:cs="Arial"/>
          <w:sz w:val="20"/>
          <w:szCs w:val="20"/>
        </w:rPr>
        <w:t xml:space="preserve">y así </w:t>
      </w:r>
      <w:r w:rsidR="00F24BD0" w:rsidRPr="00F82D83">
        <w:rPr>
          <w:rFonts w:ascii="Arial" w:hAnsi="Arial" w:cs="Arial"/>
          <w:sz w:val="20"/>
          <w:szCs w:val="20"/>
        </w:rPr>
        <w:t>dar por finiquitada la</w:t>
      </w:r>
      <w:r w:rsidRPr="00F82D83">
        <w:rPr>
          <w:rFonts w:ascii="Arial" w:hAnsi="Arial" w:cs="Arial"/>
          <w:sz w:val="20"/>
          <w:szCs w:val="20"/>
        </w:rPr>
        <w:t xml:space="preserve"> liquidación del proyecto y </w:t>
      </w:r>
      <w:r w:rsidR="00205FF5" w:rsidRPr="00F82D83">
        <w:rPr>
          <w:rFonts w:ascii="Arial" w:hAnsi="Arial" w:cs="Arial"/>
          <w:sz w:val="20"/>
          <w:szCs w:val="20"/>
        </w:rPr>
        <w:t xml:space="preserve">con esto </w:t>
      </w:r>
      <w:r w:rsidR="008707E8" w:rsidRPr="00F82D83">
        <w:rPr>
          <w:rFonts w:ascii="Arial" w:hAnsi="Arial" w:cs="Arial"/>
          <w:sz w:val="20"/>
          <w:szCs w:val="20"/>
        </w:rPr>
        <w:t xml:space="preserve">dicha </w:t>
      </w:r>
      <w:r w:rsidR="008707E8" w:rsidRPr="00F82D83">
        <w:rPr>
          <w:rFonts w:ascii="Arial" w:hAnsi="Arial" w:cs="Arial"/>
          <w:sz w:val="20"/>
          <w:szCs w:val="20"/>
        </w:rPr>
        <w:lastRenderedPageBreak/>
        <w:t>organización</w:t>
      </w:r>
      <w:r w:rsidR="00205FF5" w:rsidRPr="00F82D83">
        <w:rPr>
          <w:rFonts w:ascii="Arial" w:hAnsi="Arial" w:cs="Arial"/>
          <w:sz w:val="20"/>
          <w:szCs w:val="20"/>
        </w:rPr>
        <w:t xml:space="preserve"> y la comunidad en general</w:t>
      </w:r>
      <w:r w:rsidRPr="00F82D83">
        <w:rPr>
          <w:rFonts w:ascii="Arial" w:hAnsi="Arial" w:cs="Arial"/>
          <w:sz w:val="20"/>
          <w:szCs w:val="20"/>
        </w:rPr>
        <w:t xml:space="preserve"> se ve</w:t>
      </w:r>
      <w:r w:rsidR="00205FF5" w:rsidRPr="00F82D83">
        <w:rPr>
          <w:rFonts w:ascii="Arial" w:hAnsi="Arial" w:cs="Arial"/>
          <w:sz w:val="20"/>
          <w:szCs w:val="20"/>
        </w:rPr>
        <w:t>n</w:t>
      </w:r>
      <w:r w:rsidRPr="00F82D83">
        <w:rPr>
          <w:rFonts w:ascii="Arial" w:hAnsi="Arial" w:cs="Arial"/>
          <w:sz w:val="20"/>
          <w:szCs w:val="20"/>
        </w:rPr>
        <w:t xml:space="preserve"> excluida de</w:t>
      </w:r>
      <w:r w:rsidR="00F24BD0" w:rsidRPr="00F82D83">
        <w:rPr>
          <w:rFonts w:ascii="Arial" w:hAnsi="Arial" w:cs="Arial"/>
          <w:sz w:val="20"/>
          <w:szCs w:val="20"/>
        </w:rPr>
        <w:t xml:space="preserve"> </w:t>
      </w:r>
      <w:r w:rsidRPr="00F82D83">
        <w:rPr>
          <w:rFonts w:ascii="Arial" w:hAnsi="Arial" w:cs="Arial"/>
          <w:sz w:val="20"/>
          <w:szCs w:val="20"/>
        </w:rPr>
        <w:t>l</w:t>
      </w:r>
      <w:r w:rsidR="00F24BD0" w:rsidRPr="00F82D83">
        <w:rPr>
          <w:rFonts w:ascii="Arial" w:hAnsi="Arial" w:cs="Arial"/>
          <w:sz w:val="20"/>
          <w:szCs w:val="20"/>
        </w:rPr>
        <w:t>os</w:t>
      </w:r>
      <w:r w:rsidRPr="00F82D83">
        <w:rPr>
          <w:rFonts w:ascii="Arial" w:hAnsi="Arial" w:cs="Arial"/>
          <w:sz w:val="20"/>
          <w:szCs w:val="20"/>
        </w:rPr>
        <w:t xml:space="preserve"> </w:t>
      </w:r>
      <w:r w:rsidR="00F24BD0" w:rsidRPr="00F82D83">
        <w:rPr>
          <w:rFonts w:ascii="Arial" w:hAnsi="Arial" w:cs="Arial"/>
          <w:sz w:val="20"/>
          <w:szCs w:val="20"/>
        </w:rPr>
        <w:t>beneficios</w:t>
      </w:r>
      <w:r w:rsidRPr="00F82D83">
        <w:rPr>
          <w:rFonts w:ascii="Arial" w:hAnsi="Arial" w:cs="Arial"/>
          <w:sz w:val="20"/>
          <w:szCs w:val="20"/>
        </w:rPr>
        <w:t xml:space="preserve"> que le brinda la Institución.</w:t>
      </w:r>
    </w:p>
    <w:p w14:paraId="088066F8" w14:textId="77777777" w:rsidR="00867AC0" w:rsidRPr="00F82D83" w:rsidRDefault="00867AC0" w:rsidP="00A51551">
      <w:pPr>
        <w:spacing w:line="360" w:lineRule="auto"/>
        <w:jc w:val="both"/>
        <w:rPr>
          <w:rFonts w:ascii="Arial" w:hAnsi="Arial" w:cs="Arial"/>
          <w:sz w:val="20"/>
          <w:szCs w:val="20"/>
        </w:rPr>
      </w:pPr>
    </w:p>
    <w:p w14:paraId="40FAFA08" w14:textId="77777777" w:rsidR="00867AC0" w:rsidRPr="00F82D83" w:rsidRDefault="00205FF5" w:rsidP="00F24BD0">
      <w:pPr>
        <w:spacing w:line="360" w:lineRule="auto"/>
        <w:jc w:val="both"/>
        <w:rPr>
          <w:rFonts w:ascii="Arial" w:hAnsi="Arial" w:cs="Arial"/>
          <w:sz w:val="20"/>
          <w:szCs w:val="20"/>
        </w:rPr>
      </w:pPr>
      <w:r w:rsidRPr="00F82D83">
        <w:rPr>
          <w:rFonts w:ascii="Arial" w:hAnsi="Arial" w:cs="Arial"/>
          <w:sz w:val="20"/>
          <w:szCs w:val="20"/>
        </w:rPr>
        <w:t xml:space="preserve">Por este motivo y para </w:t>
      </w:r>
      <w:r w:rsidR="00370D34" w:rsidRPr="00F82D83">
        <w:rPr>
          <w:rFonts w:ascii="Arial" w:hAnsi="Arial" w:cs="Arial"/>
          <w:sz w:val="20"/>
          <w:szCs w:val="20"/>
        </w:rPr>
        <w:t>enmendar algunas de estas situaciones de exclusión a las cuales se han visto sometidas algunas ODC, DINADECO</w:t>
      </w:r>
      <w:r w:rsidRPr="00F82D83">
        <w:rPr>
          <w:rFonts w:ascii="Arial" w:hAnsi="Arial" w:cs="Arial"/>
          <w:sz w:val="20"/>
          <w:szCs w:val="20"/>
        </w:rPr>
        <w:t xml:space="preserve"> </w:t>
      </w:r>
      <w:r w:rsidR="008707E8" w:rsidRPr="00F82D83">
        <w:rPr>
          <w:rFonts w:ascii="Arial" w:hAnsi="Arial" w:cs="Arial"/>
          <w:sz w:val="20"/>
          <w:szCs w:val="20"/>
        </w:rPr>
        <w:t xml:space="preserve">está </w:t>
      </w:r>
      <w:r w:rsidR="00723B8D" w:rsidRPr="00F82D83">
        <w:rPr>
          <w:rFonts w:ascii="Arial" w:hAnsi="Arial" w:cs="Arial"/>
          <w:sz w:val="20"/>
          <w:szCs w:val="20"/>
        </w:rPr>
        <w:t>elaborando</w:t>
      </w:r>
      <w:r w:rsidR="00F24BD0" w:rsidRPr="00F82D83">
        <w:rPr>
          <w:rFonts w:ascii="Arial" w:hAnsi="Arial" w:cs="Arial"/>
          <w:sz w:val="20"/>
          <w:szCs w:val="20"/>
        </w:rPr>
        <w:t xml:space="preserve"> un proyecto de modificación a su ley constitutiva (Ley No. 3859 Ley sobre el Desarrollo de la Comunidad DINADECO) dentro de la cual se plantea la modificación del artículo 19 y otros aspectos relativos importantes tales como los requisitos de liquidación de proyectos.</w:t>
      </w:r>
    </w:p>
    <w:p w14:paraId="7756D8BF" w14:textId="77777777" w:rsidR="00370D34" w:rsidRPr="00F82D83" w:rsidRDefault="00F24BD0" w:rsidP="00F24BD0">
      <w:pPr>
        <w:spacing w:line="360" w:lineRule="auto"/>
        <w:jc w:val="both"/>
        <w:rPr>
          <w:rFonts w:ascii="Arial" w:hAnsi="Arial" w:cs="Arial"/>
          <w:sz w:val="20"/>
          <w:szCs w:val="20"/>
        </w:rPr>
      </w:pPr>
      <w:r w:rsidRPr="00F82D83">
        <w:rPr>
          <w:rFonts w:ascii="Arial" w:hAnsi="Arial" w:cs="Arial"/>
          <w:sz w:val="20"/>
          <w:szCs w:val="20"/>
        </w:rPr>
        <w:t xml:space="preserve">  </w:t>
      </w:r>
    </w:p>
    <w:p w14:paraId="59C62167" w14:textId="77777777" w:rsidR="00F24BD0" w:rsidRPr="00F82D83" w:rsidRDefault="00370D34" w:rsidP="00F24BD0">
      <w:pPr>
        <w:spacing w:line="360" w:lineRule="auto"/>
        <w:jc w:val="both"/>
        <w:rPr>
          <w:rFonts w:ascii="Arial" w:hAnsi="Arial" w:cs="Arial"/>
          <w:sz w:val="20"/>
          <w:szCs w:val="20"/>
        </w:rPr>
      </w:pPr>
      <w:r w:rsidRPr="00F82D83">
        <w:rPr>
          <w:rFonts w:ascii="Arial" w:hAnsi="Arial" w:cs="Arial"/>
          <w:sz w:val="20"/>
          <w:szCs w:val="20"/>
        </w:rPr>
        <w:t>Cabe recalcar que c</w:t>
      </w:r>
      <w:r w:rsidR="00F24BD0" w:rsidRPr="00F82D83">
        <w:rPr>
          <w:rFonts w:ascii="Arial" w:hAnsi="Arial" w:cs="Arial"/>
          <w:sz w:val="20"/>
          <w:szCs w:val="20"/>
        </w:rPr>
        <w:t xml:space="preserve">on esta modificación se busca superar estas situaciones de exclusión en las que se encuentran algunas </w:t>
      </w:r>
      <w:r w:rsidR="00017080" w:rsidRPr="00F82D83">
        <w:rPr>
          <w:rFonts w:ascii="Arial" w:hAnsi="Arial" w:cs="Arial"/>
          <w:sz w:val="20"/>
          <w:szCs w:val="20"/>
        </w:rPr>
        <w:t>organizaciones</w:t>
      </w:r>
      <w:r w:rsidR="00F24BD0" w:rsidRPr="00F82D83">
        <w:rPr>
          <w:rFonts w:ascii="Arial" w:hAnsi="Arial" w:cs="Arial"/>
          <w:sz w:val="20"/>
          <w:szCs w:val="20"/>
        </w:rPr>
        <w:t xml:space="preserve">, respetando asimismo </w:t>
      </w:r>
      <w:r w:rsidRPr="00F82D83">
        <w:rPr>
          <w:rFonts w:ascii="Arial" w:hAnsi="Arial" w:cs="Arial"/>
          <w:sz w:val="20"/>
          <w:szCs w:val="20"/>
        </w:rPr>
        <w:t>los bienes y el patrimonio del Estado.</w:t>
      </w:r>
    </w:p>
    <w:p w14:paraId="20FC5CBD" w14:textId="77777777" w:rsidR="004F7C30" w:rsidRPr="00F82D83" w:rsidRDefault="004F7C30" w:rsidP="00A51551">
      <w:pPr>
        <w:spacing w:line="360" w:lineRule="auto"/>
        <w:jc w:val="both"/>
        <w:rPr>
          <w:rFonts w:ascii="Arial" w:hAnsi="Arial" w:cs="Arial"/>
          <w:sz w:val="20"/>
          <w:szCs w:val="20"/>
        </w:rPr>
      </w:pPr>
    </w:p>
    <w:p w14:paraId="0C7E7CDB" w14:textId="77777777" w:rsidR="00E75844" w:rsidRPr="00F82D83" w:rsidRDefault="00C154F6" w:rsidP="00D22012">
      <w:pPr>
        <w:spacing w:line="360" w:lineRule="auto"/>
        <w:jc w:val="both"/>
        <w:rPr>
          <w:rFonts w:ascii="Arial" w:hAnsi="Arial" w:cs="Arial"/>
          <w:sz w:val="20"/>
          <w:szCs w:val="20"/>
        </w:rPr>
      </w:pPr>
      <w:r w:rsidRPr="00F82D83">
        <w:rPr>
          <w:rFonts w:ascii="Arial" w:hAnsi="Arial" w:cs="Arial"/>
          <w:sz w:val="20"/>
          <w:szCs w:val="20"/>
        </w:rPr>
        <w:t>Por último, h</w:t>
      </w:r>
      <w:r w:rsidR="008B08EC" w:rsidRPr="00F82D83">
        <w:rPr>
          <w:rFonts w:ascii="Arial" w:hAnsi="Arial" w:cs="Arial"/>
          <w:sz w:val="20"/>
          <w:szCs w:val="20"/>
        </w:rPr>
        <w:t xml:space="preserve">ay un grupo de liquidaciones que ya </w:t>
      </w:r>
      <w:r w:rsidRPr="00F82D83">
        <w:rPr>
          <w:rFonts w:ascii="Arial" w:hAnsi="Arial" w:cs="Arial"/>
          <w:sz w:val="20"/>
          <w:szCs w:val="20"/>
        </w:rPr>
        <w:t xml:space="preserve">habiendo sido </w:t>
      </w:r>
      <w:r w:rsidR="008B08EC" w:rsidRPr="00F82D83">
        <w:rPr>
          <w:rFonts w:ascii="Arial" w:hAnsi="Arial" w:cs="Arial"/>
          <w:sz w:val="20"/>
          <w:szCs w:val="20"/>
        </w:rPr>
        <w:t>entregadas a la institución se encuentran e</w:t>
      </w:r>
      <w:r w:rsidRPr="00F82D83">
        <w:rPr>
          <w:rFonts w:ascii="Arial" w:hAnsi="Arial" w:cs="Arial"/>
          <w:sz w:val="20"/>
          <w:szCs w:val="20"/>
        </w:rPr>
        <w:t>n</w:t>
      </w:r>
      <w:r w:rsidR="008B08EC" w:rsidRPr="00F82D83">
        <w:rPr>
          <w:rFonts w:ascii="Arial" w:hAnsi="Arial" w:cs="Arial"/>
          <w:sz w:val="20"/>
          <w:szCs w:val="20"/>
        </w:rPr>
        <w:t xml:space="preserve"> </w:t>
      </w:r>
      <w:r w:rsidR="0038566C" w:rsidRPr="00F82D83">
        <w:rPr>
          <w:rFonts w:ascii="Arial" w:hAnsi="Arial" w:cs="Arial"/>
          <w:sz w:val="20"/>
          <w:szCs w:val="20"/>
        </w:rPr>
        <w:t xml:space="preserve">programación para ser analizadas o en </w:t>
      </w:r>
      <w:r w:rsidR="008B08EC" w:rsidRPr="00F82D83">
        <w:rPr>
          <w:rFonts w:ascii="Arial" w:hAnsi="Arial" w:cs="Arial"/>
          <w:sz w:val="20"/>
          <w:szCs w:val="20"/>
        </w:rPr>
        <w:t xml:space="preserve">proceso de análisis </w:t>
      </w:r>
      <w:r w:rsidR="0038566C" w:rsidRPr="00F82D83">
        <w:rPr>
          <w:rFonts w:ascii="Arial" w:hAnsi="Arial" w:cs="Arial"/>
          <w:sz w:val="20"/>
          <w:szCs w:val="20"/>
        </w:rPr>
        <w:t xml:space="preserve">propiamente dicho.   Sin embargo, es un proceso que toma tiempo y la cantidad de analistas es limitada.  </w:t>
      </w:r>
    </w:p>
    <w:p w14:paraId="6B8887E4" w14:textId="77777777" w:rsidR="00867AC0" w:rsidRPr="00F82D83" w:rsidRDefault="00867AC0" w:rsidP="00D22012">
      <w:pPr>
        <w:spacing w:line="360" w:lineRule="auto"/>
        <w:jc w:val="both"/>
        <w:rPr>
          <w:rFonts w:ascii="Arial" w:hAnsi="Arial" w:cs="Arial"/>
          <w:sz w:val="20"/>
          <w:szCs w:val="20"/>
        </w:rPr>
      </w:pPr>
    </w:p>
    <w:p w14:paraId="6FD227B7" w14:textId="77777777" w:rsidR="000B6CB8" w:rsidRPr="00F82D83" w:rsidRDefault="00E75844" w:rsidP="00D22012">
      <w:pPr>
        <w:spacing w:line="360" w:lineRule="auto"/>
        <w:jc w:val="both"/>
        <w:rPr>
          <w:rFonts w:ascii="Arial" w:hAnsi="Arial" w:cs="Arial"/>
          <w:sz w:val="20"/>
          <w:szCs w:val="20"/>
        </w:rPr>
      </w:pPr>
      <w:r w:rsidRPr="00F82D83">
        <w:rPr>
          <w:rFonts w:ascii="Arial" w:hAnsi="Arial" w:cs="Arial"/>
          <w:sz w:val="20"/>
          <w:szCs w:val="20"/>
        </w:rPr>
        <w:t xml:space="preserve">Lo anterior </w:t>
      </w:r>
      <w:r w:rsidR="0038566C" w:rsidRPr="00F82D83">
        <w:rPr>
          <w:rFonts w:ascii="Arial" w:hAnsi="Arial" w:cs="Arial"/>
          <w:sz w:val="20"/>
          <w:szCs w:val="20"/>
        </w:rPr>
        <w:t xml:space="preserve">porque dicho proceso es un proceso </w:t>
      </w:r>
      <w:r w:rsidR="00951CE7" w:rsidRPr="00F82D83">
        <w:rPr>
          <w:rFonts w:ascii="Arial" w:hAnsi="Arial" w:cs="Arial"/>
          <w:sz w:val="20"/>
          <w:szCs w:val="20"/>
        </w:rPr>
        <w:t xml:space="preserve">dinámico </w:t>
      </w:r>
      <w:r w:rsidR="00256885" w:rsidRPr="00F82D83">
        <w:rPr>
          <w:rFonts w:ascii="Arial" w:hAnsi="Arial" w:cs="Arial"/>
          <w:sz w:val="20"/>
          <w:szCs w:val="20"/>
        </w:rPr>
        <w:t xml:space="preserve">e iterativo </w:t>
      </w:r>
      <w:r w:rsidR="0038566C" w:rsidRPr="00F82D83">
        <w:rPr>
          <w:rFonts w:ascii="Arial" w:hAnsi="Arial" w:cs="Arial"/>
          <w:sz w:val="20"/>
          <w:szCs w:val="20"/>
        </w:rPr>
        <w:t>por medio del cual se recibe información, se ubica en espera o se evalúa si hay disponibilidad de analistas, se analiza la información, se realizan consultas sobre información incomprensible, incompleta</w:t>
      </w:r>
      <w:r w:rsidRPr="00F82D83">
        <w:rPr>
          <w:rFonts w:ascii="Arial" w:hAnsi="Arial" w:cs="Arial"/>
          <w:sz w:val="20"/>
          <w:szCs w:val="20"/>
        </w:rPr>
        <w:t>, incorrecta</w:t>
      </w:r>
      <w:r w:rsidR="0038566C" w:rsidRPr="00F82D83">
        <w:rPr>
          <w:rFonts w:ascii="Arial" w:hAnsi="Arial" w:cs="Arial"/>
          <w:sz w:val="20"/>
          <w:szCs w:val="20"/>
        </w:rPr>
        <w:t xml:space="preserve"> o faltante.  Es por esto </w:t>
      </w:r>
      <w:r w:rsidRPr="00F82D83">
        <w:rPr>
          <w:rFonts w:ascii="Arial" w:hAnsi="Arial" w:cs="Arial"/>
          <w:sz w:val="20"/>
          <w:szCs w:val="20"/>
        </w:rPr>
        <w:t>por lo que</w:t>
      </w:r>
      <w:r w:rsidR="0038566C" w:rsidRPr="00F82D83">
        <w:rPr>
          <w:rFonts w:ascii="Arial" w:hAnsi="Arial" w:cs="Arial"/>
          <w:sz w:val="20"/>
          <w:szCs w:val="20"/>
        </w:rPr>
        <w:t xml:space="preserve"> por ejemplo a la hora de reportar un subsan</w:t>
      </w:r>
      <w:r w:rsidRPr="00F82D83">
        <w:rPr>
          <w:rFonts w:ascii="Arial" w:hAnsi="Arial" w:cs="Arial"/>
          <w:sz w:val="20"/>
          <w:szCs w:val="20"/>
        </w:rPr>
        <w:t>e</w:t>
      </w:r>
      <w:r w:rsidR="0038566C" w:rsidRPr="00F82D83">
        <w:rPr>
          <w:rFonts w:ascii="Arial" w:hAnsi="Arial" w:cs="Arial"/>
          <w:sz w:val="20"/>
          <w:szCs w:val="20"/>
        </w:rPr>
        <w:t xml:space="preserve"> hay que esperar el ingreso de la nueva información y realizar un nuevo análisis</w:t>
      </w:r>
      <w:r w:rsidR="00256885" w:rsidRPr="00F82D83">
        <w:rPr>
          <w:rFonts w:ascii="Arial" w:hAnsi="Arial" w:cs="Arial"/>
          <w:sz w:val="20"/>
          <w:szCs w:val="20"/>
        </w:rPr>
        <w:t xml:space="preserve"> del proyecto</w:t>
      </w:r>
      <w:r w:rsidR="0038566C" w:rsidRPr="00F82D83">
        <w:rPr>
          <w:rFonts w:ascii="Arial" w:hAnsi="Arial" w:cs="Arial"/>
          <w:sz w:val="20"/>
          <w:szCs w:val="20"/>
        </w:rPr>
        <w:t>.</w:t>
      </w:r>
    </w:p>
    <w:p w14:paraId="6C4A9B47" w14:textId="77777777" w:rsidR="00C55E84" w:rsidRPr="00F82D83" w:rsidRDefault="00C55E84" w:rsidP="00D22012">
      <w:pPr>
        <w:spacing w:line="360" w:lineRule="auto"/>
        <w:jc w:val="both"/>
        <w:rPr>
          <w:rFonts w:ascii="Arial" w:hAnsi="Arial" w:cs="Arial"/>
          <w:sz w:val="20"/>
          <w:szCs w:val="20"/>
        </w:rPr>
      </w:pPr>
    </w:p>
    <w:p w14:paraId="0533E01E" w14:textId="77777777" w:rsidR="00C55E84" w:rsidRPr="00F82D83" w:rsidRDefault="00C55E84" w:rsidP="00C55E84">
      <w:pPr>
        <w:spacing w:line="360" w:lineRule="auto"/>
        <w:jc w:val="both"/>
        <w:rPr>
          <w:rFonts w:ascii="Arial" w:hAnsi="Arial" w:cs="Arial"/>
          <w:sz w:val="20"/>
          <w:szCs w:val="20"/>
        </w:rPr>
      </w:pPr>
      <w:r w:rsidRPr="00F82D83">
        <w:rPr>
          <w:rFonts w:ascii="Arial" w:hAnsi="Arial" w:cs="Arial"/>
          <w:sz w:val="20"/>
          <w:szCs w:val="20"/>
        </w:rPr>
        <w:t xml:space="preserve">Solo en caso de que un proyecto quedara inconcluso por manejo inadecuado de fondos, o que del todo no se realizara, sí existiría una afectación a la población. </w:t>
      </w:r>
    </w:p>
    <w:p w14:paraId="322992FA" w14:textId="77777777" w:rsidR="00C55E84" w:rsidRPr="00F82D83" w:rsidRDefault="00C55E84" w:rsidP="00C55E84">
      <w:pPr>
        <w:spacing w:line="360" w:lineRule="auto"/>
        <w:jc w:val="both"/>
        <w:rPr>
          <w:rFonts w:ascii="Arial" w:hAnsi="Arial" w:cs="Arial"/>
          <w:sz w:val="20"/>
          <w:szCs w:val="20"/>
        </w:rPr>
      </w:pPr>
    </w:p>
    <w:p w14:paraId="7FF83D82" w14:textId="77777777" w:rsidR="00F82D83" w:rsidRDefault="00C55E84" w:rsidP="00F82D83">
      <w:pPr>
        <w:spacing w:line="360" w:lineRule="auto"/>
        <w:jc w:val="both"/>
        <w:rPr>
          <w:rFonts w:ascii="Arial" w:hAnsi="Arial" w:cs="Arial"/>
          <w:sz w:val="20"/>
          <w:szCs w:val="20"/>
        </w:rPr>
      </w:pPr>
      <w:r w:rsidRPr="00F82D83">
        <w:rPr>
          <w:rFonts w:ascii="Arial" w:hAnsi="Arial" w:cs="Arial"/>
          <w:sz w:val="20"/>
          <w:szCs w:val="20"/>
        </w:rPr>
        <w:t xml:space="preserve">La gestión continua en torno a los proyectos, contempla la visita de inspección durante su ejecución, lo cual es algo que la Contraloría General de la República ha recomendado plasmar en los expedientes. Los esfuerzos continúan en la dirección de que la totalidad de los proyectos financiados, se liquiden dentro del periodo establecido, aunque para ello, es importante que se asignen a Dinadeco, los recursos humanos y materiales necesarios, para cumplir con sus funciones.  </w:t>
      </w:r>
    </w:p>
    <w:p w14:paraId="715CA95F" w14:textId="77777777" w:rsidR="0004568E" w:rsidRDefault="0004568E" w:rsidP="00F82D83">
      <w:pPr>
        <w:spacing w:line="360" w:lineRule="auto"/>
        <w:jc w:val="both"/>
        <w:rPr>
          <w:rFonts w:ascii="Arial" w:hAnsi="Arial" w:cs="Arial"/>
          <w:bCs/>
          <w:sz w:val="20"/>
          <w:szCs w:val="20"/>
        </w:rPr>
      </w:pPr>
    </w:p>
    <w:p w14:paraId="0ADA992D" w14:textId="77777777" w:rsidR="009D4C1C" w:rsidRPr="00F82D83" w:rsidRDefault="009D4C1C" w:rsidP="00F82D83">
      <w:pPr>
        <w:spacing w:line="360" w:lineRule="auto"/>
        <w:jc w:val="both"/>
        <w:rPr>
          <w:rFonts w:ascii="Arial" w:hAnsi="Arial" w:cs="Arial"/>
          <w:bCs/>
          <w:sz w:val="20"/>
          <w:szCs w:val="20"/>
        </w:rPr>
      </w:pPr>
      <w:r w:rsidRPr="00F82D83">
        <w:rPr>
          <w:rFonts w:ascii="Arial" w:hAnsi="Arial" w:cs="Arial"/>
          <w:bCs/>
          <w:sz w:val="20"/>
          <w:szCs w:val="20"/>
        </w:rPr>
        <w:t xml:space="preserve">La relevancia de este indicador reside en la evidencia de que los fondos son destinados para el desarrollo de los proyectos conforme el perfil aprobado. Lo anterior es consecuente con la misión institucional, en lo que respecta al fortalecimiento de las organizaciones de desarrollo comunal, en su gestión proactiva de desarrollar proyectos para beneficio de sus comunidades. Además, a </w:t>
      </w:r>
      <w:r w:rsidRPr="00F82D83">
        <w:rPr>
          <w:rFonts w:ascii="Arial" w:hAnsi="Arial" w:cs="Arial"/>
          <w:bCs/>
          <w:sz w:val="20"/>
          <w:szCs w:val="20"/>
        </w:rPr>
        <w:lastRenderedPageBreak/>
        <w:t>través de toda la dinámica de proyectos, se promueven aspectos contemplados en los principios establecidos en la Ley N°3859 Sobre el desarrollo de la comunidad, como la participación activa y consciente en las decisiones y acciones en la comunidad, la creación de oportunidades y el desarrollo de capacidades y cualidades para canalizarlas en beneficio de la comunidad y del país.</w:t>
      </w:r>
    </w:p>
    <w:p w14:paraId="7F3309F8" w14:textId="77777777" w:rsidR="00C610D5" w:rsidRPr="00F82D83" w:rsidRDefault="00C610D5" w:rsidP="00D22012">
      <w:pPr>
        <w:spacing w:line="360" w:lineRule="auto"/>
        <w:jc w:val="both"/>
        <w:rPr>
          <w:rFonts w:ascii="Arial" w:hAnsi="Arial" w:cs="Arial"/>
          <w:sz w:val="20"/>
          <w:szCs w:val="20"/>
        </w:rPr>
      </w:pPr>
    </w:p>
    <w:p w14:paraId="641258E4" w14:textId="77777777" w:rsidR="00E36F58" w:rsidRPr="00F82D83" w:rsidRDefault="00256885" w:rsidP="00D22012">
      <w:pPr>
        <w:spacing w:line="360" w:lineRule="auto"/>
        <w:jc w:val="both"/>
        <w:rPr>
          <w:rFonts w:ascii="Arial" w:hAnsi="Arial" w:cs="Arial"/>
          <w:sz w:val="20"/>
          <w:szCs w:val="20"/>
        </w:rPr>
      </w:pPr>
      <w:r w:rsidRPr="00F82D83">
        <w:rPr>
          <w:rFonts w:ascii="Arial" w:hAnsi="Arial" w:cs="Arial"/>
          <w:b/>
          <w:sz w:val="20"/>
          <w:szCs w:val="20"/>
        </w:rPr>
        <w:t>Indicador: Porcentaje de proyectos liquidados</w:t>
      </w:r>
      <w:r w:rsidR="00867AC0" w:rsidRPr="00F82D83">
        <w:rPr>
          <w:rFonts w:ascii="Arial" w:hAnsi="Arial" w:cs="Arial"/>
          <w:b/>
          <w:sz w:val="20"/>
          <w:szCs w:val="20"/>
        </w:rPr>
        <w:t xml:space="preserve">: </w:t>
      </w:r>
      <w:r w:rsidR="008D5157" w:rsidRPr="00F82D83">
        <w:rPr>
          <w:rFonts w:ascii="Arial" w:hAnsi="Arial" w:cs="Arial"/>
          <w:sz w:val="20"/>
          <w:szCs w:val="20"/>
        </w:rPr>
        <w:t>La parte referente al proceso de Liquidaciones enunciada en el apartado anterior aplica para este indicador</w:t>
      </w:r>
      <w:r w:rsidR="00315B51" w:rsidRPr="00F82D83">
        <w:rPr>
          <w:rFonts w:ascii="Arial" w:hAnsi="Arial" w:cs="Arial"/>
          <w:sz w:val="20"/>
          <w:szCs w:val="20"/>
        </w:rPr>
        <w:t>.</w:t>
      </w:r>
      <w:r w:rsidR="008D5157" w:rsidRPr="00F82D83">
        <w:rPr>
          <w:rFonts w:ascii="Arial" w:hAnsi="Arial" w:cs="Arial"/>
          <w:sz w:val="20"/>
          <w:szCs w:val="20"/>
        </w:rPr>
        <w:t xml:space="preserve">  </w:t>
      </w:r>
      <w:r w:rsidR="00E36F58" w:rsidRPr="00F82D83">
        <w:rPr>
          <w:rFonts w:ascii="Arial" w:hAnsi="Arial" w:cs="Arial"/>
          <w:sz w:val="20"/>
          <w:szCs w:val="20"/>
        </w:rPr>
        <w:t xml:space="preserve">El proceso de Liquidaciones es dinámico e iterativo y dependiente de la respuesta pronta de las ODC a las solicitudes de información. </w:t>
      </w:r>
    </w:p>
    <w:p w14:paraId="2EE90EF3" w14:textId="77777777" w:rsidR="00867AC0" w:rsidRPr="00F82D83" w:rsidRDefault="00867AC0" w:rsidP="00D22012">
      <w:pPr>
        <w:spacing w:line="360" w:lineRule="auto"/>
        <w:jc w:val="both"/>
        <w:rPr>
          <w:rFonts w:ascii="Arial" w:hAnsi="Arial" w:cs="Arial"/>
          <w:sz w:val="20"/>
          <w:szCs w:val="20"/>
        </w:rPr>
      </w:pPr>
    </w:p>
    <w:p w14:paraId="3DEF5E3D" w14:textId="77777777" w:rsidR="00256885" w:rsidRPr="00F82D83" w:rsidRDefault="00E36F58" w:rsidP="00D22012">
      <w:pPr>
        <w:spacing w:line="360" w:lineRule="auto"/>
        <w:jc w:val="both"/>
        <w:rPr>
          <w:rFonts w:ascii="Arial" w:hAnsi="Arial" w:cs="Arial"/>
          <w:sz w:val="20"/>
          <w:szCs w:val="20"/>
        </w:rPr>
      </w:pPr>
      <w:r w:rsidRPr="00F82D83">
        <w:rPr>
          <w:rFonts w:ascii="Arial" w:hAnsi="Arial" w:cs="Arial"/>
          <w:sz w:val="20"/>
          <w:szCs w:val="20"/>
        </w:rPr>
        <w:t xml:space="preserve">Muchos </w:t>
      </w:r>
      <w:r w:rsidR="008D5157" w:rsidRPr="00F82D83">
        <w:rPr>
          <w:rFonts w:ascii="Arial" w:hAnsi="Arial" w:cs="Arial"/>
          <w:sz w:val="20"/>
          <w:szCs w:val="20"/>
        </w:rPr>
        <w:t xml:space="preserve">de los proyectos en estudio presentan mucha antigüedad en el estado de “Pendiente” o en “Subsane” y algunos de ellos </w:t>
      </w:r>
      <w:r w:rsidRPr="00F82D83">
        <w:rPr>
          <w:rFonts w:ascii="Arial" w:hAnsi="Arial" w:cs="Arial"/>
          <w:sz w:val="20"/>
          <w:szCs w:val="20"/>
        </w:rPr>
        <w:t xml:space="preserve">puede que </w:t>
      </w:r>
      <w:r w:rsidR="008D5157" w:rsidRPr="00F82D83">
        <w:rPr>
          <w:rFonts w:ascii="Arial" w:hAnsi="Arial" w:cs="Arial"/>
          <w:sz w:val="20"/>
          <w:szCs w:val="20"/>
        </w:rPr>
        <w:t xml:space="preserve">no </w:t>
      </w:r>
      <w:r w:rsidRPr="00F82D83">
        <w:rPr>
          <w:rFonts w:ascii="Arial" w:hAnsi="Arial" w:cs="Arial"/>
          <w:sz w:val="20"/>
          <w:szCs w:val="20"/>
        </w:rPr>
        <w:t xml:space="preserve">se reactiven </w:t>
      </w:r>
      <w:r w:rsidR="001B6BFB" w:rsidRPr="00F82D83">
        <w:rPr>
          <w:rFonts w:ascii="Arial" w:hAnsi="Arial" w:cs="Arial"/>
          <w:sz w:val="20"/>
          <w:szCs w:val="20"/>
        </w:rPr>
        <w:t xml:space="preserve">ya sea </w:t>
      </w:r>
      <w:r w:rsidR="008D5157" w:rsidRPr="00F82D83">
        <w:rPr>
          <w:rFonts w:ascii="Arial" w:hAnsi="Arial" w:cs="Arial"/>
          <w:sz w:val="20"/>
          <w:szCs w:val="20"/>
        </w:rPr>
        <w:t xml:space="preserve">por algún documento faltante </w:t>
      </w:r>
      <w:r w:rsidR="001B6BFB" w:rsidRPr="00F82D83">
        <w:rPr>
          <w:rFonts w:ascii="Arial" w:hAnsi="Arial" w:cs="Arial"/>
          <w:sz w:val="20"/>
          <w:szCs w:val="20"/>
        </w:rPr>
        <w:t xml:space="preserve">o por disolución </w:t>
      </w:r>
      <w:r w:rsidRPr="00F82D83">
        <w:rPr>
          <w:rFonts w:ascii="Arial" w:hAnsi="Arial" w:cs="Arial"/>
          <w:sz w:val="20"/>
          <w:szCs w:val="20"/>
        </w:rPr>
        <w:t xml:space="preserve">o alguna deuda pendiente </w:t>
      </w:r>
      <w:r w:rsidR="001B6BFB" w:rsidRPr="00F82D83">
        <w:rPr>
          <w:rFonts w:ascii="Arial" w:hAnsi="Arial" w:cs="Arial"/>
          <w:sz w:val="20"/>
          <w:szCs w:val="20"/>
        </w:rPr>
        <w:t>de la ODC.</w:t>
      </w:r>
    </w:p>
    <w:p w14:paraId="22FF1B76" w14:textId="77777777" w:rsidR="00867AC0" w:rsidRPr="00F82D83" w:rsidRDefault="00867AC0" w:rsidP="00D22012">
      <w:pPr>
        <w:spacing w:line="360" w:lineRule="auto"/>
        <w:jc w:val="both"/>
        <w:rPr>
          <w:rFonts w:ascii="Arial" w:hAnsi="Arial" w:cs="Arial"/>
          <w:sz w:val="20"/>
          <w:szCs w:val="20"/>
        </w:rPr>
      </w:pPr>
    </w:p>
    <w:p w14:paraId="2FCD346B" w14:textId="77777777" w:rsidR="006C354B" w:rsidRPr="00F82D83" w:rsidRDefault="00E36F58" w:rsidP="00D22012">
      <w:pPr>
        <w:spacing w:line="360" w:lineRule="auto"/>
        <w:jc w:val="both"/>
        <w:rPr>
          <w:rFonts w:ascii="Arial" w:hAnsi="Arial" w:cs="Arial"/>
          <w:sz w:val="20"/>
          <w:szCs w:val="20"/>
        </w:rPr>
      </w:pPr>
      <w:r w:rsidRPr="00F82D83">
        <w:rPr>
          <w:rFonts w:ascii="Arial" w:hAnsi="Arial" w:cs="Arial"/>
          <w:sz w:val="20"/>
          <w:szCs w:val="20"/>
        </w:rPr>
        <w:t xml:space="preserve">De igual manera como se mencionó anteriormente se espera que el enfoque </w:t>
      </w:r>
      <w:r w:rsidR="004116D1" w:rsidRPr="00F82D83">
        <w:rPr>
          <w:rFonts w:ascii="Arial" w:hAnsi="Arial" w:cs="Arial"/>
          <w:sz w:val="20"/>
          <w:szCs w:val="20"/>
        </w:rPr>
        <w:t xml:space="preserve">de prioridades hacia el </w:t>
      </w:r>
      <w:r w:rsidRPr="00F82D83">
        <w:rPr>
          <w:rFonts w:ascii="Arial" w:hAnsi="Arial" w:cs="Arial"/>
          <w:sz w:val="20"/>
          <w:szCs w:val="20"/>
        </w:rPr>
        <w:t xml:space="preserve">fortalecimiento de los mecanismos de control de los procesos y operaciones y la </w:t>
      </w:r>
      <w:r w:rsidR="004116D1" w:rsidRPr="00F82D83">
        <w:rPr>
          <w:rFonts w:ascii="Arial" w:hAnsi="Arial" w:cs="Arial"/>
          <w:sz w:val="20"/>
          <w:szCs w:val="20"/>
        </w:rPr>
        <w:t>aplicación</w:t>
      </w:r>
      <w:r w:rsidRPr="00F82D83">
        <w:rPr>
          <w:rFonts w:ascii="Arial" w:hAnsi="Arial" w:cs="Arial"/>
          <w:sz w:val="20"/>
          <w:szCs w:val="20"/>
        </w:rPr>
        <w:t xml:space="preserve"> de herramientas informáticas mejore la gestión y nivel de respuesta de las ODC en este proceso.</w:t>
      </w:r>
      <w:r w:rsidR="004116D1" w:rsidRPr="00F82D83">
        <w:rPr>
          <w:rFonts w:ascii="Arial" w:hAnsi="Arial" w:cs="Arial"/>
          <w:sz w:val="20"/>
          <w:szCs w:val="20"/>
        </w:rPr>
        <w:t xml:space="preserve">  También se puede añadir acerca del taller de mejoramiento de procesos que se va a impartir a los funcionarios de la Dirección Técnica Operativa a través del cual se pretende mejorar tanto los mecanismos de control como la operación del proceso.</w:t>
      </w:r>
    </w:p>
    <w:p w14:paraId="6E60A956" w14:textId="77777777" w:rsidR="00F971F4" w:rsidRPr="00F82D83" w:rsidRDefault="00F971F4" w:rsidP="00D22012">
      <w:pPr>
        <w:spacing w:line="360" w:lineRule="auto"/>
        <w:jc w:val="both"/>
        <w:rPr>
          <w:rFonts w:ascii="Arial" w:hAnsi="Arial" w:cs="Arial"/>
          <w:sz w:val="20"/>
          <w:szCs w:val="20"/>
        </w:rPr>
      </w:pPr>
    </w:p>
    <w:p w14:paraId="0D4D387D" w14:textId="77777777" w:rsidR="00F82D83" w:rsidRDefault="00F971F4" w:rsidP="00F82D83">
      <w:pPr>
        <w:spacing w:line="360" w:lineRule="auto"/>
        <w:jc w:val="both"/>
        <w:rPr>
          <w:rFonts w:ascii="Arial" w:hAnsi="Arial" w:cs="Arial"/>
          <w:sz w:val="20"/>
          <w:szCs w:val="20"/>
        </w:rPr>
      </w:pPr>
      <w:r w:rsidRPr="00F82D83">
        <w:rPr>
          <w:rFonts w:ascii="Arial" w:hAnsi="Arial" w:cs="Arial"/>
          <w:sz w:val="20"/>
          <w:szCs w:val="20"/>
        </w:rPr>
        <w:t xml:space="preserve">Como se señaló anteriormente la población puede verse perjudicada cuando no se hayan liquidado proyectos debido a que queda como no elegible para otros proyectos o para recibir el fondo por girar.  Existe la posibilidad de que la falta de una factura afecte la liquidación, pero también de que la ODC se atrase y afecte de esta manera su </w:t>
      </w:r>
      <w:r w:rsidR="00F07775" w:rsidRPr="00F82D83">
        <w:rPr>
          <w:rFonts w:ascii="Arial" w:hAnsi="Arial" w:cs="Arial"/>
          <w:sz w:val="20"/>
          <w:szCs w:val="20"/>
        </w:rPr>
        <w:t>elegibilidad</w:t>
      </w:r>
      <w:r w:rsidRPr="00F82D83">
        <w:rPr>
          <w:rFonts w:ascii="Arial" w:hAnsi="Arial" w:cs="Arial"/>
          <w:sz w:val="20"/>
          <w:szCs w:val="20"/>
        </w:rPr>
        <w:t>.</w:t>
      </w:r>
    </w:p>
    <w:p w14:paraId="667CCAC8" w14:textId="77777777" w:rsidR="00F82D83" w:rsidRDefault="00F82D83" w:rsidP="00F82D83">
      <w:pPr>
        <w:spacing w:line="360" w:lineRule="auto"/>
        <w:jc w:val="both"/>
        <w:rPr>
          <w:rFonts w:ascii="Arial" w:hAnsi="Arial" w:cs="Arial"/>
          <w:sz w:val="20"/>
          <w:szCs w:val="20"/>
        </w:rPr>
      </w:pPr>
    </w:p>
    <w:p w14:paraId="5C7C3D69" w14:textId="77777777" w:rsidR="00F82D83" w:rsidRDefault="00A6564A" w:rsidP="00F82D83">
      <w:pPr>
        <w:spacing w:line="360" w:lineRule="auto"/>
        <w:jc w:val="both"/>
        <w:rPr>
          <w:rFonts w:ascii="Arial" w:hAnsi="Arial" w:cs="Arial"/>
          <w:bCs/>
          <w:sz w:val="20"/>
          <w:szCs w:val="20"/>
        </w:rPr>
      </w:pPr>
      <w:r w:rsidRPr="00F82D83">
        <w:rPr>
          <w:rFonts w:ascii="Arial" w:hAnsi="Arial" w:cs="Arial"/>
          <w:bCs/>
          <w:sz w:val="20"/>
          <w:szCs w:val="20"/>
        </w:rPr>
        <w:t>Que los proyectos cumplan con su ejecución y se evidencie a través de su liquidación, es trascendental en la función de Dinadeco, como canalizador y asesor en el manejo de fondos públicos. Dado que los recursos son limitados, esta institución prioriza la asignación de fondos, con base en diversos criterios, de forma que los proyectos beneficien a sectores más desfavorecidos, así como también se incida en mejores condiciones de vida de los habitantes de las comunidades organizadas en asociaciones de desarrollo comunal.</w:t>
      </w:r>
    </w:p>
    <w:p w14:paraId="254CCE6C" w14:textId="77777777" w:rsidR="00A6564A" w:rsidRPr="00F82D83" w:rsidRDefault="00A6564A" w:rsidP="00F82D83">
      <w:pPr>
        <w:spacing w:line="360" w:lineRule="auto"/>
        <w:jc w:val="both"/>
        <w:rPr>
          <w:rFonts w:ascii="Arial" w:hAnsi="Arial" w:cs="Arial"/>
          <w:bCs/>
          <w:sz w:val="20"/>
          <w:szCs w:val="20"/>
        </w:rPr>
      </w:pPr>
      <w:r w:rsidRPr="00F82D83">
        <w:rPr>
          <w:rFonts w:ascii="Arial" w:hAnsi="Arial" w:cs="Arial"/>
          <w:bCs/>
          <w:sz w:val="20"/>
          <w:szCs w:val="20"/>
        </w:rPr>
        <w:t>Los proyectos liquidados representan un producto que hace patente la capacidad organizativa de una comunidad para realizar obras o equipar instalaciones, con lo cual se brinde un determinado servicio. También refleja la funcionalidad del voluntariado de los líderes comunales, como un acto solidario y de vocación hacia la comunidad.</w:t>
      </w:r>
    </w:p>
    <w:p w14:paraId="0E97C095" w14:textId="77777777" w:rsidR="00E253BD" w:rsidRPr="00F82D83" w:rsidRDefault="00E253BD" w:rsidP="00D22012">
      <w:pPr>
        <w:spacing w:line="360" w:lineRule="auto"/>
        <w:jc w:val="both"/>
        <w:rPr>
          <w:rFonts w:ascii="Arial" w:hAnsi="Arial" w:cs="Arial"/>
          <w:sz w:val="20"/>
          <w:szCs w:val="20"/>
        </w:rPr>
      </w:pPr>
    </w:p>
    <w:p w14:paraId="6EC3C235" w14:textId="77777777" w:rsidR="0074766B" w:rsidRPr="00F82D83" w:rsidRDefault="0074766B" w:rsidP="0074766B">
      <w:pPr>
        <w:spacing w:line="360" w:lineRule="auto"/>
        <w:jc w:val="both"/>
        <w:rPr>
          <w:rFonts w:ascii="Arial" w:hAnsi="Arial" w:cs="Arial"/>
          <w:sz w:val="20"/>
          <w:szCs w:val="20"/>
        </w:rPr>
      </w:pPr>
      <w:r w:rsidRPr="00F82D83">
        <w:rPr>
          <w:rFonts w:ascii="Arial" w:hAnsi="Arial" w:cs="Arial"/>
          <w:b/>
          <w:sz w:val="20"/>
          <w:szCs w:val="20"/>
        </w:rPr>
        <w:t>Indicador: Porcentaje de uniones cantonales con conocimientos adquiridos en seguridad ciudadana</w:t>
      </w:r>
      <w:r w:rsidR="00867AC0" w:rsidRPr="00F82D83">
        <w:rPr>
          <w:rFonts w:ascii="Arial" w:hAnsi="Arial" w:cs="Arial"/>
          <w:b/>
          <w:sz w:val="20"/>
          <w:szCs w:val="20"/>
        </w:rPr>
        <w:t xml:space="preserve">: </w:t>
      </w:r>
      <w:r w:rsidRPr="00F82D83">
        <w:rPr>
          <w:rFonts w:ascii="Arial" w:hAnsi="Arial" w:cs="Arial"/>
          <w:sz w:val="20"/>
          <w:szCs w:val="20"/>
        </w:rPr>
        <w:t xml:space="preserve">Como se indicó en el informe semestral, para la ejecución de este indicador, era básico disponer de recursos para gastos de alimentación, pero en virtud de que el presupuesto aprobado por la Asamblea Legislativa dejó en cero la subpartida asociada, hay una imposibilidad institucional para convocar a uniones cantonales a una actividad de capacitación en las que no se ofrezca al menos este recurso. </w:t>
      </w:r>
    </w:p>
    <w:p w14:paraId="66FE604A" w14:textId="77777777" w:rsidR="00867AC0" w:rsidRPr="00F82D83" w:rsidRDefault="00867AC0" w:rsidP="0074766B">
      <w:pPr>
        <w:spacing w:line="360" w:lineRule="auto"/>
        <w:jc w:val="both"/>
        <w:rPr>
          <w:rFonts w:ascii="Arial" w:hAnsi="Arial" w:cs="Arial"/>
          <w:sz w:val="20"/>
          <w:szCs w:val="20"/>
        </w:rPr>
      </w:pPr>
    </w:p>
    <w:p w14:paraId="47C0EC98" w14:textId="77777777" w:rsidR="00F634B7" w:rsidRPr="00F82D83" w:rsidRDefault="0074766B" w:rsidP="0074766B">
      <w:pPr>
        <w:spacing w:line="360" w:lineRule="auto"/>
        <w:jc w:val="both"/>
        <w:rPr>
          <w:rFonts w:ascii="Arial" w:hAnsi="Arial" w:cs="Arial"/>
          <w:sz w:val="20"/>
          <w:szCs w:val="20"/>
        </w:rPr>
      </w:pPr>
      <w:r w:rsidRPr="00F82D83">
        <w:rPr>
          <w:rFonts w:ascii="Arial" w:hAnsi="Arial" w:cs="Arial"/>
          <w:sz w:val="20"/>
          <w:szCs w:val="20"/>
        </w:rPr>
        <w:t xml:space="preserve">Así las cosas, el cumplimiento acumulado para todo el período que va desde de este indicador queda en 52.2% basado en las actividades realizadas durante el 2016 y 2017, al haberse capacitado a 46 organizaciones de grado superior, de las 88 que se tenía como meta. </w:t>
      </w:r>
      <w:r w:rsidR="001B3CF3" w:rsidRPr="00F82D83">
        <w:rPr>
          <w:rFonts w:ascii="Arial" w:hAnsi="Arial" w:cs="Arial"/>
          <w:sz w:val="20"/>
          <w:szCs w:val="20"/>
        </w:rPr>
        <w:t xml:space="preserve">  </w:t>
      </w:r>
    </w:p>
    <w:p w14:paraId="4F416AC5" w14:textId="77777777" w:rsidR="00F634B7" w:rsidRPr="00F82D83" w:rsidRDefault="00F634B7" w:rsidP="0074766B">
      <w:pPr>
        <w:spacing w:line="360" w:lineRule="auto"/>
        <w:jc w:val="both"/>
        <w:rPr>
          <w:rFonts w:ascii="Arial" w:hAnsi="Arial" w:cs="Arial"/>
          <w:sz w:val="20"/>
          <w:szCs w:val="20"/>
        </w:rPr>
      </w:pPr>
      <w:r w:rsidRPr="00F82D83">
        <w:rPr>
          <w:rFonts w:ascii="Arial" w:hAnsi="Arial" w:cs="Arial"/>
          <w:sz w:val="20"/>
          <w:szCs w:val="20"/>
        </w:rPr>
        <w:t>Como medida correctiva se había planteado buscar la colaboración de asociaciones comunales para facilitar la alimentación, suceso que no se llegó a concretar.</w:t>
      </w:r>
    </w:p>
    <w:p w14:paraId="1BA9E275" w14:textId="77777777" w:rsidR="00F634B7" w:rsidRPr="00F82D83" w:rsidRDefault="00F634B7" w:rsidP="0074766B">
      <w:pPr>
        <w:spacing w:line="360" w:lineRule="auto"/>
        <w:jc w:val="both"/>
        <w:rPr>
          <w:rFonts w:ascii="Arial" w:hAnsi="Arial" w:cs="Arial"/>
          <w:sz w:val="20"/>
          <w:szCs w:val="20"/>
        </w:rPr>
      </w:pPr>
    </w:p>
    <w:p w14:paraId="5F6162A4" w14:textId="77777777" w:rsidR="00F634B7" w:rsidRPr="00F82D83" w:rsidRDefault="00F634B7" w:rsidP="00F634B7">
      <w:pPr>
        <w:spacing w:line="360" w:lineRule="auto"/>
        <w:jc w:val="both"/>
        <w:rPr>
          <w:rFonts w:ascii="Arial" w:hAnsi="Arial" w:cs="Arial"/>
          <w:sz w:val="20"/>
          <w:szCs w:val="20"/>
        </w:rPr>
      </w:pPr>
      <w:r w:rsidRPr="00F82D83">
        <w:rPr>
          <w:rFonts w:ascii="Arial" w:hAnsi="Arial" w:cs="Arial"/>
          <w:sz w:val="20"/>
          <w:szCs w:val="20"/>
        </w:rPr>
        <w:t xml:space="preserve">En cuanto a la afectación a la población objeto por los beneficios que dejó de recibir, cabe señalar que el abordaje de este tema no surgió de la demanda de las organizaciones comunales, por lo que no representa una afectación a sus intereses particulares en materia de capacitación. Sin embargo, es claro que el tema de la seguridad ciudadana ha sido un foco de atención para el país en general, por lo cual se busca contribuir a un abordaje preventivo en las comunidades. </w:t>
      </w:r>
    </w:p>
    <w:p w14:paraId="36121A00" w14:textId="77777777" w:rsidR="00F634B7" w:rsidRPr="00F82D83" w:rsidRDefault="00F634B7" w:rsidP="0074766B">
      <w:pPr>
        <w:spacing w:line="360" w:lineRule="auto"/>
        <w:jc w:val="both"/>
        <w:rPr>
          <w:rFonts w:ascii="Arial" w:hAnsi="Arial" w:cs="Arial"/>
          <w:sz w:val="20"/>
          <w:szCs w:val="20"/>
        </w:rPr>
      </w:pPr>
    </w:p>
    <w:p w14:paraId="6F7C4578" w14:textId="77777777" w:rsidR="008E578F" w:rsidRPr="00F82D83" w:rsidRDefault="00F634B7" w:rsidP="0074766B">
      <w:pPr>
        <w:spacing w:line="360" w:lineRule="auto"/>
        <w:jc w:val="both"/>
        <w:rPr>
          <w:rFonts w:ascii="Arial" w:hAnsi="Arial" w:cs="Arial"/>
          <w:sz w:val="20"/>
          <w:szCs w:val="20"/>
        </w:rPr>
      </w:pPr>
      <w:r w:rsidRPr="00F82D83">
        <w:rPr>
          <w:rFonts w:ascii="Arial" w:hAnsi="Arial" w:cs="Arial"/>
          <w:sz w:val="20"/>
          <w:szCs w:val="20"/>
        </w:rPr>
        <w:t>Dado que para el presupuesto de 2019 no se aprobó partida para esta capacitación, este indicador se descontinuará para el siguiente Plan Anual Institucional.</w:t>
      </w:r>
    </w:p>
    <w:p w14:paraId="0D81F3C6" w14:textId="77777777" w:rsidR="00903B60" w:rsidRPr="00F82D83" w:rsidRDefault="00903B60" w:rsidP="008321DA">
      <w:pPr>
        <w:spacing w:line="360" w:lineRule="auto"/>
        <w:jc w:val="both"/>
        <w:rPr>
          <w:rFonts w:ascii="Arial" w:hAnsi="Arial" w:cs="Arial"/>
          <w:color w:val="FF0000"/>
          <w:sz w:val="20"/>
          <w:szCs w:val="20"/>
        </w:rPr>
      </w:pPr>
    </w:p>
    <w:p w14:paraId="4D71AB0D" w14:textId="77777777" w:rsidR="00867AC0" w:rsidRDefault="00867AC0" w:rsidP="00867AC0">
      <w:pPr>
        <w:numPr>
          <w:ilvl w:val="0"/>
          <w:numId w:val="2"/>
        </w:numPr>
        <w:tabs>
          <w:tab w:val="num" w:pos="851"/>
        </w:tabs>
        <w:spacing w:line="360" w:lineRule="auto"/>
        <w:ind w:left="851" w:hanging="425"/>
        <w:jc w:val="both"/>
        <w:rPr>
          <w:rFonts w:ascii="Arial" w:hAnsi="Arial" w:cs="Arial"/>
          <w:sz w:val="20"/>
          <w:szCs w:val="20"/>
          <w:lang w:val="es-MX"/>
        </w:rPr>
      </w:pPr>
      <w:r w:rsidRPr="00F82D83">
        <w:rPr>
          <w:rFonts w:ascii="Arial" w:hAnsi="Arial" w:cs="Arial"/>
          <w:sz w:val="20"/>
          <w:szCs w:val="20"/>
          <w:lang w:val="es-MX"/>
        </w:rPr>
        <w:t xml:space="preserve">Informe sobre los resultados de la aplicación de las acciones correctivas indicadas en el </w:t>
      </w:r>
      <w:r w:rsidRPr="00F82D83">
        <w:rPr>
          <w:rFonts w:ascii="Arial" w:hAnsi="Arial" w:cs="Arial"/>
          <w:b/>
          <w:sz w:val="20"/>
          <w:szCs w:val="20"/>
          <w:lang w:val="es-MX"/>
        </w:rPr>
        <w:t>Informe de Seguimiento Semestral</w:t>
      </w:r>
      <w:r w:rsidRPr="00F82D83">
        <w:rPr>
          <w:rFonts w:ascii="Arial" w:hAnsi="Arial" w:cs="Arial"/>
          <w:sz w:val="20"/>
          <w:szCs w:val="20"/>
          <w:lang w:val="es-MX"/>
        </w:rPr>
        <w:t>.</w:t>
      </w:r>
    </w:p>
    <w:p w14:paraId="1CBBED70" w14:textId="77777777" w:rsidR="00F82D83" w:rsidRPr="00F82D83" w:rsidRDefault="00F82D83" w:rsidP="00F82D83">
      <w:pPr>
        <w:spacing w:line="360" w:lineRule="auto"/>
        <w:jc w:val="both"/>
        <w:rPr>
          <w:rFonts w:ascii="Arial" w:hAnsi="Arial" w:cs="Arial"/>
          <w:sz w:val="20"/>
          <w:szCs w:val="20"/>
          <w:lang w:val="es-MX"/>
        </w:rPr>
      </w:pPr>
    </w:p>
    <w:p w14:paraId="7090A1C0" w14:textId="77777777" w:rsidR="008E578F" w:rsidRDefault="008E578F" w:rsidP="008E578F">
      <w:pPr>
        <w:spacing w:line="360" w:lineRule="auto"/>
        <w:jc w:val="both"/>
        <w:rPr>
          <w:rFonts w:ascii="Arial" w:hAnsi="Arial" w:cs="Arial"/>
          <w:sz w:val="20"/>
          <w:szCs w:val="20"/>
        </w:rPr>
      </w:pPr>
      <w:r w:rsidRPr="00F82D83">
        <w:rPr>
          <w:rFonts w:ascii="Arial" w:hAnsi="Arial" w:cs="Arial"/>
          <w:sz w:val="20"/>
          <w:szCs w:val="20"/>
        </w:rPr>
        <w:t>En el caso de los indicadores de producto referentes a</w:t>
      </w:r>
      <w:r w:rsidR="00A7572B" w:rsidRPr="00F82D83">
        <w:rPr>
          <w:rFonts w:ascii="Arial" w:hAnsi="Arial" w:cs="Arial"/>
          <w:sz w:val="20"/>
          <w:szCs w:val="20"/>
        </w:rPr>
        <w:t xml:space="preserve"> </w:t>
      </w:r>
      <w:r w:rsidRPr="00F82D83">
        <w:rPr>
          <w:rFonts w:ascii="Arial" w:hAnsi="Arial" w:cs="Arial"/>
          <w:sz w:val="20"/>
          <w:szCs w:val="20"/>
        </w:rPr>
        <w:t xml:space="preserve">proyectos desarrollados en </w:t>
      </w:r>
      <w:r w:rsidR="00EC03BF" w:rsidRPr="00F82D83">
        <w:rPr>
          <w:rFonts w:ascii="Arial" w:hAnsi="Arial" w:cs="Arial"/>
          <w:sz w:val="20"/>
          <w:szCs w:val="20"/>
        </w:rPr>
        <w:t>territorios prioritarios</w:t>
      </w:r>
      <w:r w:rsidR="00A7572B" w:rsidRPr="00F82D83">
        <w:rPr>
          <w:rFonts w:ascii="Arial" w:hAnsi="Arial" w:cs="Arial"/>
          <w:sz w:val="20"/>
          <w:szCs w:val="20"/>
        </w:rPr>
        <w:t>, proyectos de infraestructura</w:t>
      </w:r>
      <w:r w:rsidRPr="00F82D83">
        <w:rPr>
          <w:rFonts w:ascii="Arial" w:hAnsi="Arial" w:cs="Arial"/>
          <w:sz w:val="20"/>
          <w:szCs w:val="20"/>
        </w:rPr>
        <w:t xml:space="preserve"> y proyectos liquidados, se plantearon dos tipos de medidas correctivas.</w:t>
      </w:r>
    </w:p>
    <w:p w14:paraId="779A2833" w14:textId="77777777" w:rsidR="008E578F" w:rsidRPr="00370BAE" w:rsidRDefault="008E578F" w:rsidP="00370BAE">
      <w:pPr>
        <w:pStyle w:val="Prrafodelista"/>
        <w:numPr>
          <w:ilvl w:val="0"/>
          <w:numId w:val="31"/>
        </w:numPr>
        <w:spacing w:line="360" w:lineRule="auto"/>
        <w:jc w:val="both"/>
        <w:rPr>
          <w:rFonts w:ascii="Arial" w:hAnsi="Arial" w:cs="Arial"/>
          <w:sz w:val="20"/>
          <w:szCs w:val="20"/>
        </w:rPr>
      </w:pPr>
      <w:r w:rsidRPr="00370BAE">
        <w:rPr>
          <w:rFonts w:ascii="Arial" w:hAnsi="Arial" w:cs="Arial"/>
          <w:sz w:val="20"/>
          <w:szCs w:val="20"/>
        </w:rPr>
        <w:t>Una era referente a</w:t>
      </w:r>
      <w:r w:rsidR="00526789" w:rsidRPr="00370BAE">
        <w:rPr>
          <w:rFonts w:ascii="Arial" w:hAnsi="Arial" w:cs="Arial"/>
          <w:sz w:val="20"/>
          <w:szCs w:val="20"/>
        </w:rPr>
        <w:t xml:space="preserve"> </w:t>
      </w:r>
      <w:r w:rsidRPr="00370BAE">
        <w:rPr>
          <w:rFonts w:ascii="Arial" w:hAnsi="Arial" w:cs="Arial"/>
          <w:sz w:val="20"/>
          <w:szCs w:val="20"/>
        </w:rPr>
        <w:t>l</w:t>
      </w:r>
      <w:r w:rsidR="00526789" w:rsidRPr="00370BAE">
        <w:rPr>
          <w:rFonts w:ascii="Arial" w:hAnsi="Arial" w:cs="Arial"/>
          <w:sz w:val="20"/>
          <w:szCs w:val="20"/>
        </w:rPr>
        <w:t>a necesidad de un</w:t>
      </w:r>
      <w:r w:rsidRPr="00370BAE">
        <w:rPr>
          <w:rFonts w:ascii="Arial" w:hAnsi="Arial" w:cs="Arial"/>
          <w:sz w:val="20"/>
          <w:szCs w:val="20"/>
        </w:rPr>
        <w:t xml:space="preserve"> nombramiento </w:t>
      </w:r>
      <w:r w:rsidR="003B21EB" w:rsidRPr="00370BAE">
        <w:rPr>
          <w:rFonts w:ascii="Arial" w:hAnsi="Arial" w:cs="Arial"/>
          <w:sz w:val="20"/>
          <w:szCs w:val="20"/>
        </w:rPr>
        <w:t xml:space="preserve">pronto </w:t>
      </w:r>
      <w:r w:rsidRPr="00370BAE">
        <w:rPr>
          <w:rFonts w:ascii="Arial" w:hAnsi="Arial" w:cs="Arial"/>
          <w:sz w:val="20"/>
          <w:szCs w:val="20"/>
        </w:rPr>
        <w:t xml:space="preserve">del nuevo Consejo, ya que existía incertidumbre sobre su incorporación </w:t>
      </w:r>
      <w:r w:rsidR="003B21EB" w:rsidRPr="00370BAE">
        <w:rPr>
          <w:rFonts w:ascii="Arial" w:hAnsi="Arial" w:cs="Arial"/>
          <w:sz w:val="20"/>
          <w:szCs w:val="20"/>
        </w:rPr>
        <w:t xml:space="preserve">y a que </w:t>
      </w:r>
      <w:r w:rsidRPr="00370BAE">
        <w:rPr>
          <w:rFonts w:ascii="Arial" w:hAnsi="Arial" w:cs="Arial"/>
          <w:sz w:val="20"/>
          <w:szCs w:val="20"/>
        </w:rPr>
        <w:t>una entrada tardía iba a afectar toda la operación</w:t>
      </w:r>
      <w:r w:rsidR="003B21EB" w:rsidRPr="00370BAE">
        <w:rPr>
          <w:rFonts w:ascii="Arial" w:hAnsi="Arial" w:cs="Arial"/>
          <w:sz w:val="20"/>
          <w:szCs w:val="20"/>
        </w:rPr>
        <w:t xml:space="preserve"> de la Institución</w:t>
      </w:r>
      <w:r w:rsidRPr="00370BAE">
        <w:rPr>
          <w:rFonts w:ascii="Arial" w:hAnsi="Arial" w:cs="Arial"/>
          <w:sz w:val="20"/>
          <w:szCs w:val="20"/>
        </w:rPr>
        <w:t>.  Este fue nombrado hasta el 6 de agosto, pero la primera liquidación aprobada fue hasta el 24 de setiembre; sin embargo</w:t>
      </w:r>
      <w:r w:rsidR="005E3276" w:rsidRPr="00370BAE">
        <w:rPr>
          <w:rFonts w:ascii="Arial" w:hAnsi="Arial" w:cs="Arial"/>
          <w:sz w:val="20"/>
          <w:szCs w:val="20"/>
        </w:rPr>
        <w:t>,</w:t>
      </w:r>
      <w:r w:rsidR="00526789" w:rsidRPr="00370BAE">
        <w:rPr>
          <w:rFonts w:ascii="Arial" w:hAnsi="Arial" w:cs="Arial"/>
          <w:sz w:val="20"/>
          <w:szCs w:val="20"/>
        </w:rPr>
        <w:t xml:space="preserve"> este factor</w:t>
      </w:r>
      <w:r w:rsidRPr="00370BAE">
        <w:rPr>
          <w:rFonts w:ascii="Arial" w:hAnsi="Arial" w:cs="Arial"/>
          <w:sz w:val="20"/>
          <w:szCs w:val="20"/>
        </w:rPr>
        <w:t xml:space="preserve"> no afectó la operación porque hay que señalar que el nuevo Consejo realizó mayor cantidad </w:t>
      </w:r>
      <w:r w:rsidR="00F82D83" w:rsidRPr="00370BAE">
        <w:rPr>
          <w:rFonts w:ascii="Arial" w:hAnsi="Arial" w:cs="Arial"/>
          <w:sz w:val="20"/>
          <w:szCs w:val="20"/>
        </w:rPr>
        <w:t>de las aprobaciones</w:t>
      </w:r>
      <w:r w:rsidRPr="00370BAE">
        <w:rPr>
          <w:rFonts w:ascii="Arial" w:hAnsi="Arial" w:cs="Arial"/>
          <w:sz w:val="20"/>
          <w:szCs w:val="20"/>
        </w:rPr>
        <w:t xml:space="preserve"> y liquidaciones de proyectos que el anterior.</w:t>
      </w:r>
    </w:p>
    <w:p w14:paraId="70052AA1" w14:textId="77777777" w:rsidR="00370BAE" w:rsidRPr="00F82D83" w:rsidRDefault="00370BAE" w:rsidP="008E578F">
      <w:pPr>
        <w:spacing w:line="360" w:lineRule="auto"/>
        <w:jc w:val="both"/>
        <w:rPr>
          <w:rFonts w:ascii="Arial" w:hAnsi="Arial" w:cs="Arial"/>
          <w:sz w:val="20"/>
          <w:szCs w:val="20"/>
        </w:rPr>
      </w:pPr>
    </w:p>
    <w:p w14:paraId="1141574E" w14:textId="77777777" w:rsidR="008E578F" w:rsidRPr="00370BAE" w:rsidRDefault="008E578F" w:rsidP="00370BAE">
      <w:pPr>
        <w:pStyle w:val="Prrafodelista"/>
        <w:numPr>
          <w:ilvl w:val="0"/>
          <w:numId w:val="31"/>
        </w:numPr>
        <w:spacing w:line="360" w:lineRule="auto"/>
        <w:jc w:val="both"/>
        <w:rPr>
          <w:rFonts w:ascii="Arial" w:hAnsi="Arial" w:cs="Arial"/>
          <w:sz w:val="20"/>
          <w:szCs w:val="20"/>
        </w:rPr>
      </w:pPr>
      <w:r w:rsidRPr="00370BAE">
        <w:rPr>
          <w:rFonts w:ascii="Arial" w:hAnsi="Arial" w:cs="Arial"/>
          <w:sz w:val="20"/>
          <w:szCs w:val="20"/>
        </w:rPr>
        <w:lastRenderedPageBreak/>
        <w:t xml:space="preserve">La segunda medida correctiva que se planteó en el informe semestral fue la realización de las gestiones operativas (y de campo) que incluían las inspecciones de campo y el trabajo de campo de las Direcciones Regionales.  Sin </w:t>
      </w:r>
      <w:r w:rsidR="00A7572B" w:rsidRPr="00370BAE">
        <w:rPr>
          <w:rFonts w:ascii="Arial" w:hAnsi="Arial" w:cs="Arial"/>
          <w:sz w:val="20"/>
          <w:szCs w:val="20"/>
        </w:rPr>
        <w:t>embargo,</w:t>
      </w:r>
      <w:r w:rsidRPr="00370BAE">
        <w:rPr>
          <w:rFonts w:ascii="Arial" w:hAnsi="Arial" w:cs="Arial"/>
          <w:sz w:val="20"/>
          <w:szCs w:val="20"/>
        </w:rPr>
        <w:t xml:space="preserve"> como se ha mencion</w:t>
      </w:r>
      <w:r w:rsidR="00A7572B" w:rsidRPr="00370BAE">
        <w:rPr>
          <w:rFonts w:ascii="Arial" w:hAnsi="Arial" w:cs="Arial"/>
          <w:sz w:val="20"/>
          <w:szCs w:val="20"/>
        </w:rPr>
        <w:t>ó en el apartado referente al “Porcentaje de proyectos de infraestructura que cumplen su etapa de operación” factores de recorte recursos para el trabajo operativo de campo y necesidades de mejora en los controles actuales incidieron en alcance final de estos indicadores.</w:t>
      </w:r>
    </w:p>
    <w:p w14:paraId="12BF05B5" w14:textId="77777777" w:rsidR="00370BAE" w:rsidRPr="00F82D83" w:rsidRDefault="00370BAE" w:rsidP="008E578F">
      <w:pPr>
        <w:spacing w:line="360" w:lineRule="auto"/>
        <w:jc w:val="both"/>
        <w:rPr>
          <w:rFonts w:ascii="Arial" w:hAnsi="Arial" w:cs="Arial"/>
          <w:sz w:val="20"/>
          <w:szCs w:val="20"/>
        </w:rPr>
      </w:pPr>
    </w:p>
    <w:p w14:paraId="454AB756" w14:textId="77777777" w:rsidR="00A7572B" w:rsidRPr="00370BAE" w:rsidRDefault="00A7572B" w:rsidP="00370BAE">
      <w:pPr>
        <w:pStyle w:val="Prrafodelista"/>
        <w:numPr>
          <w:ilvl w:val="0"/>
          <w:numId w:val="31"/>
        </w:numPr>
        <w:spacing w:line="360" w:lineRule="auto"/>
        <w:jc w:val="both"/>
        <w:rPr>
          <w:rFonts w:ascii="Arial" w:hAnsi="Arial" w:cs="Arial"/>
          <w:sz w:val="20"/>
          <w:szCs w:val="20"/>
        </w:rPr>
      </w:pPr>
      <w:r w:rsidRPr="00370BAE">
        <w:rPr>
          <w:rFonts w:ascii="Arial" w:hAnsi="Arial" w:cs="Arial"/>
          <w:sz w:val="20"/>
          <w:szCs w:val="20"/>
        </w:rPr>
        <w:t xml:space="preserve">Por último, es importante señalar que para el año 2017 donde no existió </w:t>
      </w:r>
      <w:r w:rsidR="003B21EB" w:rsidRPr="00370BAE">
        <w:rPr>
          <w:rFonts w:ascii="Arial" w:hAnsi="Arial" w:cs="Arial"/>
          <w:sz w:val="20"/>
          <w:szCs w:val="20"/>
        </w:rPr>
        <w:t>e recorte</w:t>
      </w:r>
      <w:r w:rsidRPr="00370BAE">
        <w:rPr>
          <w:rFonts w:ascii="Arial" w:hAnsi="Arial" w:cs="Arial"/>
          <w:sz w:val="20"/>
          <w:szCs w:val="20"/>
        </w:rPr>
        <w:t xml:space="preserve"> de recursos </w:t>
      </w:r>
      <w:r w:rsidR="003B21EB" w:rsidRPr="00370BAE">
        <w:rPr>
          <w:rFonts w:ascii="Arial" w:hAnsi="Arial" w:cs="Arial"/>
          <w:sz w:val="20"/>
          <w:szCs w:val="20"/>
        </w:rPr>
        <w:t>e</w:t>
      </w:r>
      <w:r w:rsidRPr="00370BAE">
        <w:rPr>
          <w:rFonts w:ascii="Arial" w:hAnsi="Arial" w:cs="Arial"/>
          <w:sz w:val="20"/>
          <w:szCs w:val="20"/>
        </w:rPr>
        <w:t>l alcance de los resultados de cada indicador fue muy superior</w:t>
      </w:r>
      <w:r w:rsidR="003B21EB" w:rsidRPr="00370BAE">
        <w:rPr>
          <w:rFonts w:ascii="Arial" w:hAnsi="Arial" w:cs="Arial"/>
          <w:sz w:val="20"/>
          <w:szCs w:val="20"/>
        </w:rPr>
        <w:t xml:space="preserve"> al de este año basado</w:t>
      </w:r>
      <w:r w:rsidRPr="00370BAE">
        <w:rPr>
          <w:rFonts w:ascii="Arial" w:hAnsi="Arial" w:cs="Arial"/>
          <w:sz w:val="20"/>
          <w:szCs w:val="20"/>
        </w:rPr>
        <w:t xml:space="preserve"> el informe anual de 2017.  </w:t>
      </w:r>
      <w:r w:rsidR="003B21EB" w:rsidRPr="00370BAE">
        <w:rPr>
          <w:rFonts w:ascii="Arial" w:hAnsi="Arial" w:cs="Arial"/>
          <w:sz w:val="20"/>
          <w:szCs w:val="20"/>
        </w:rPr>
        <w:t>El alcance de e</w:t>
      </w:r>
      <w:r w:rsidRPr="00370BAE">
        <w:rPr>
          <w:rFonts w:ascii="Arial" w:hAnsi="Arial" w:cs="Arial"/>
          <w:sz w:val="20"/>
          <w:szCs w:val="20"/>
        </w:rPr>
        <w:t>stos fue</w:t>
      </w:r>
      <w:r w:rsidR="003B21EB" w:rsidRPr="00370BAE">
        <w:rPr>
          <w:rFonts w:ascii="Arial" w:hAnsi="Arial" w:cs="Arial"/>
          <w:sz w:val="20"/>
          <w:szCs w:val="20"/>
        </w:rPr>
        <w:t xml:space="preserve"> </w:t>
      </w:r>
      <w:r w:rsidRPr="00370BAE">
        <w:rPr>
          <w:rFonts w:ascii="Arial" w:hAnsi="Arial" w:cs="Arial"/>
          <w:sz w:val="20"/>
          <w:szCs w:val="20"/>
        </w:rPr>
        <w:t>de 164% para proyectos desarrollados en distritos prioritarios, de 149% para proyectos de infraestructura y de 93% para proyectos liquidados</w:t>
      </w:r>
      <w:r w:rsidR="003B21EB" w:rsidRPr="00370BAE">
        <w:rPr>
          <w:rFonts w:ascii="Arial" w:hAnsi="Arial" w:cs="Arial"/>
          <w:sz w:val="20"/>
          <w:szCs w:val="20"/>
        </w:rPr>
        <w:t>, esto con metas idénticas para el año 2018</w:t>
      </w:r>
      <w:r w:rsidRPr="00370BAE">
        <w:rPr>
          <w:rFonts w:ascii="Arial" w:hAnsi="Arial" w:cs="Arial"/>
          <w:sz w:val="20"/>
          <w:szCs w:val="20"/>
        </w:rPr>
        <w:t>.</w:t>
      </w:r>
    </w:p>
    <w:p w14:paraId="5E683C20" w14:textId="77777777" w:rsidR="00526789" w:rsidRPr="00F82D83" w:rsidRDefault="00526789" w:rsidP="008321DA">
      <w:pPr>
        <w:spacing w:line="360" w:lineRule="auto"/>
        <w:jc w:val="both"/>
        <w:rPr>
          <w:rFonts w:ascii="Arial" w:hAnsi="Arial" w:cs="Arial"/>
          <w:color w:val="FF0000"/>
          <w:sz w:val="20"/>
          <w:szCs w:val="20"/>
          <w:lang w:val="es-MX"/>
        </w:rPr>
      </w:pPr>
    </w:p>
    <w:p w14:paraId="5FD78851" w14:textId="77777777" w:rsidR="00526789" w:rsidRPr="00F82D83" w:rsidRDefault="00526789" w:rsidP="00526789">
      <w:pPr>
        <w:autoSpaceDE w:val="0"/>
        <w:autoSpaceDN w:val="0"/>
        <w:adjustRightInd w:val="0"/>
        <w:spacing w:after="200" w:line="276" w:lineRule="auto"/>
        <w:rPr>
          <w:rFonts w:ascii="Arial" w:hAnsi="Arial" w:cs="Arial"/>
          <w:sz w:val="20"/>
          <w:szCs w:val="20"/>
          <w:lang w:val="es"/>
        </w:rPr>
      </w:pPr>
      <w:r w:rsidRPr="00F82D83">
        <w:rPr>
          <w:rFonts w:ascii="Arial" w:hAnsi="Arial" w:cs="Arial"/>
          <w:sz w:val="20"/>
          <w:szCs w:val="20"/>
          <w:lang w:val="es"/>
        </w:rPr>
        <w:t>e.</w:t>
      </w:r>
      <w:r w:rsidRPr="00F82D83">
        <w:rPr>
          <w:rFonts w:ascii="Arial" w:hAnsi="Arial" w:cs="Arial"/>
          <w:sz w:val="20"/>
          <w:szCs w:val="20"/>
          <w:lang w:val="es"/>
        </w:rPr>
        <w:tab/>
        <w:t xml:space="preserve">Refiérase a los recursos ejecutados del programa y/o subprograma en relación con los logros alcanzados. </w:t>
      </w:r>
    </w:p>
    <w:p w14:paraId="6A956C75" w14:textId="77777777" w:rsidR="00526789" w:rsidRPr="00F82D83" w:rsidRDefault="009D118D" w:rsidP="002B2542">
      <w:pPr>
        <w:spacing w:line="360" w:lineRule="auto"/>
        <w:jc w:val="both"/>
        <w:rPr>
          <w:rFonts w:ascii="Arial" w:hAnsi="Arial" w:cs="Arial"/>
          <w:sz w:val="20"/>
          <w:szCs w:val="20"/>
        </w:rPr>
      </w:pPr>
      <w:r w:rsidRPr="00F82D83">
        <w:rPr>
          <w:rFonts w:ascii="Arial" w:hAnsi="Arial" w:cs="Arial"/>
          <w:sz w:val="20"/>
          <w:szCs w:val="20"/>
        </w:rPr>
        <w:t>En cuanto a los recursos ejecutados</w:t>
      </w:r>
      <w:r w:rsidR="00481152" w:rsidRPr="00F82D83">
        <w:rPr>
          <w:rFonts w:ascii="Arial" w:hAnsi="Arial" w:cs="Arial"/>
          <w:sz w:val="20"/>
          <w:szCs w:val="20"/>
        </w:rPr>
        <w:t xml:space="preserve"> es importante mencionar los decretos y directrices que afectaron gravemente el alcance de logros por parte de la Dirección Técnica Operativa</w:t>
      </w:r>
      <w:r w:rsidR="002B2542" w:rsidRPr="00F82D83">
        <w:rPr>
          <w:rFonts w:ascii="Arial" w:hAnsi="Arial" w:cs="Arial"/>
          <w:sz w:val="20"/>
          <w:szCs w:val="20"/>
        </w:rPr>
        <w:t xml:space="preserve"> (DTO)</w:t>
      </w:r>
      <w:r w:rsidR="00481152" w:rsidRPr="00F82D83">
        <w:rPr>
          <w:rFonts w:ascii="Arial" w:hAnsi="Arial" w:cs="Arial"/>
          <w:sz w:val="20"/>
          <w:szCs w:val="20"/>
        </w:rPr>
        <w:t xml:space="preserve">, responsable del trabajo en campo </w:t>
      </w:r>
      <w:r w:rsidR="002B2542" w:rsidRPr="00F82D83">
        <w:rPr>
          <w:rFonts w:ascii="Arial" w:hAnsi="Arial" w:cs="Arial"/>
          <w:sz w:val="20"/>
          <w:szCs w:val="20"/>
        </w:rPr>
        <w:t>del producto “Aprobación y seguimiento de proyectos a ser financiados” y sus</w:t>
      </w:r>
      <w:r w:rsidR="00481152" w:rsidRPr="00F82D83">
        <w:rPr>
          <w:rFonts w:ascii="Arial" w:hAnsi="Arial" w:cs="Arial"/>
          <w:sz w:val="20"/>
          <w:szCs w:val="20"/>
        </w:rPr>
        <w:t xml:space="preserve"> </w:t>
      </w:r>
      <w:r w:rsidR="002B2542" w:rsidRPr="00F82D83">
        <w:rPr>
          <w:rFonts w:ascii="Arial" w:hAnsi="Arial" w:cs="Arial"/>
          <w:sz w:val="20"/>
          <w:szCs w:val="20"/>
        </w:rPr>
        <w:t xml:space="preserve">cuatro indicadores de </w:t>
      </w:r>
      <w:r w:rsidR="00481152" w:rsidRPr="00F82D83">
        <w:rPr>
          <w:rFonts w:ascii="Arial" w:hAnsi="Arial" w:cs="Arial"/>
          <w:sz w:val="20"/>
          <w:szCs w:val="20"/>
        </w:rPr>
        <w:t>producto:</w:t>
      </w:r>
    </w:p>
    <w:p w14:paraId="016EA6F7" w14:textId="77777777" w:rsidR="009D118D" w:rsidRPr="00F82D83" w:rsidRDefault="009D118D" w:rsidP="008321DA">
      <w:pPr>
        <w:spacing w:line="360" w:lineRule="auto"/>
        <w:jc w:val="both"/>
        <w:rPr>
          <w:rFonts w:ascii="Arial" w:hAnsi="Arial" w:cs="Arial"/>
          <w:sz w:val="20"/>
          <w:szCs w:val="20"/>
        </w:rPr>
      </w:pPr>
    </w:p>
    <w:p w14:paraId="0D07F8C6" w14:textId="77777777" w:rsidR="00481152" w:rsidRPr="00370BAE" w:rsidRDefault="005E01D0" w:rsidP="00370BAE">
      <w:pPr>
        <w:pStyle w:val="Prrafodelista"/>
        <w:numPr>
          <w:ilvl w:val="0"/>
          <w:numId w:val="32"/>
        </w:numPr>
        <w:spacing w:line="360" w:lineRule="auto"/>
        <w:jc w:val="both"/>
        <w:rPr>
          <w:rFonts w:ascii="Arial" w:hAnsi="Arial" w:cs="Arial"/>
          <w:sz w:val="20"/>
          <w:szCs w:val="20"/>
        </w:rPr>
      </w:pPr>
      <w:r w:rsidRPr="00370BAE">
        <w:rPr>
          <w:rFonts w:ascii="Arial" w:hAnsi="Arial" w:cs="Arial"/>
          <w:sz w:val="20"/>
          <w:szCs w:val="20"/>
        </w:rPr>
        <w:t xml:space="preserve">Decreto </w:t>
      </w:r>
      <w:r w:rsidR="00F07775" w:rsidRPr="00370BAE">
        <w:rPr>
          <w:rFonts w:ascii="Arial" w:hAnsi="Arial" w:cs="Arial"/>
          <w:sz w:val="20"/>
          <w:szCs w:val="20"/>
        </w:rPr>
        <w:t xml:space="preserve">N° 40540 </w:t>
      </w:r>
      <w:r w:rsidRPr="00370BAE">
        <w:rPr>
          <w:rFonts w:ascii="Arial" w:hAnsi="Arial" w:cs="Arial"/>
          <w:sz w:val="20"/>
          <w:szCs w:val="20"/>
        </w:rPr>
        <w:t>–</w:t>
      </w:r>
      <w:r w:rsidR="00F07775" w:rsidRPr="00370BAE">
        <w:rPr>
          <w:rFonts w:ascii="Arial" w:hAnsi="Arial" w:cs="Arial"/>
          <w:sz w:val="20"/>
          <w:szCs w:val="20"/>
        </w:rPr>
        <w:t xml:space="preserve"> H</w:t>
      </w:r>
      <w:r w:rsidRPr="00370BAE">
        <w:rPr>
          <w:rFonts w:ascii="Arial" w:hAnsi="Arial" w:cs="Arial"/>
          <w:sz w:val="20"/>
          <w:szCs w:val="20"/>
        </w:rPr>
        <w:t xml:space="preserve"> del Presidente de la Republica y de la Ministra de Hacienda</w:t>
      </w:r>
      <w:r w:rsidR="005C7B58" w:rsidRPr="00370BAE">
        <w:rPr>
          <w:rFonts w:ascii="Arial" w:hAnsi="Arial" w:cs="Arial"/>
          <w:sz w:val="20"/>
          <w:szCs w:val="20"/>
        </w:rPr>
        <w:t xml:space="preserve"> del 7 de agosto de 2017</w:t>
      </w:r>
      <w:r w:rsidR="00370BAE">
        <w:rPr>
          <w:rFonts w:ascii="Arial" w:hAnsi="Arial" w:cs="Arial"/>
          <w:sz w:val="20"/>
          <w:szCs w:val="20"/>
        </w:rPr>
        <w:t>:</w:t>
      </w:r>
      <w:r w:rsidR="00481152" w:rsidRPr="00370BAE">
        <w:rPr>
          <w:rFonts w:ascii="Arial" w:hAnsi="Arial" w:cs="Arial"/>
          <w:sz w:val="20"/>
          <w:szCs w:val="20"/>
        </w:rPr>
        <w:t xml:space="preserve">  En este se decreta “Contingencia Fiscal” debido a la grave situación del </w:t>
      </w:r>
      <w:r w:rsidRPr="00370BAE">
        <w:rPr>
          <w:rFonts w:ascii="Arial" w:hAnsi="Arial" w:cs="Arial"/>
          <w:sz w:val="20"/>
          <w:szCs w:val="20"/>
        </w:rPr>
        <w:t>déficit fiscal estructural creciente</w:t>
      </w:r>
      <w:r w:rsidR="009D118D" w:rsidRPr="00370BAE">
        <w:rPr>
          <w:rFonts w:ascii="Arial" w:hAnsi="Arial" w:cs="Arial"/>
          <w:sz w:val="20"/>
          <w:szCs w:val="20"/>
        </w:rPr>
        <w:t xml:space="preserve"> </w:t>
      </w:r>
      <w:r w:rsidR="00481152" w:rsidRPr="00370BAE">
        <w:rPr>
          <w:rFonts w:ascii="Arial" w:hAnsi="Arial" w:cs="Arial"/>
          <w:sz w:val="20"/>
          <w:szCs w:val="20"/>
        </w:rPr>
        <w:t xml:space="preserve">se informa de que se </w:t>
      </w:r>
      <w:r w:rsidRPr="00370BAE">
        <w:rPr>
          <w:rFonts w:ascii="Arial" w:hAnsi="Arial" w:cs="Arial"/>
          <w:sz w:val="20"/>
          <w:szCs w:val="20"/>
        </w:rPr>
        <w:t xml:space="preserve">requieren </w:t>
      </w:r>
      <w:r w:rsidR="00481152" w:rsidRPr="00370BAE">
        <w:rPr>
          <w:rFonts w:ascii="Arial" w:hAnsi="Arial" w:cs="Arial"/>
          <w:sz w:val="20"/>
          <w:szCs w:val="20"/>
        </w:rPr>
        <w:t>mayores recursos para financiar</w:t>
      </w:r>
      <w:r w:rsidR="009D118D" w:rsidRPr="00370BAE">
        <w:rPr>
          <w:rFonts w:ascii="Arial" w:hAnsi="Arial" w:cs="Arial"/>
          <w:sz w:val="20"/>
          <w:szCs w:val="20"/>
        </w:rPr>
        <w:t xml:space="preserve"> </w:t>
      </w:r>
      <w:r w:rsidR="002B2542" w:rsidRPr="00370BAE">
        <w:rPr>
          <w:rFonts w:ascii="Arial" w:hAnsi="Arial" w:cs="Arial"/>
          <w:sz w:val="20"/>
          <w:szCs w:val="20"/>
        </w:rPr>
        <w:t>el Estado.</w:t>
      </w:r>
    </w:p>
    <w:p w14:paraId="05DF6966" w14:textId="77777777" w:rsidR="00481152" w:rsidRPr="00F82D83" w:rsidRDefault="00481152" w:rsidP="008321DA">
      <w:pPr>
        <w:spacing w:line="360" w:lineRule="auto"/>
        <w:jc w:val="both"/>
        <w:rPr>
          <w:rFonts w:ascii="Arial" w:hAnsi="Arial" w:cs="Arial"/>
          <w:sz w:val="20"/>
          <w:szCs w:val="20"/>
        </w:rPr>
      </w:pPr>
    </w:p>
    <w:p w14:paraId="66DB2623" w14:textId="77777777" w:rsidR="00370BAE" w:rsidRDefault="00481152" w:rsidP="00623F1D">
      <w:pPr>
        <w:pStyle w:val="Prrafodelista"/>
        <w:numPr>
          <w:ilvl w:val="0"/>
          <w:numId w:val="32"/>
        </w:numPr>
        <w:spacing w:line="360" w:lineRule="auto"/>
        <w:jc w:val="both"/>
        <w:rPr>
          <w:rFonts w:ascii="Arial" w:hAnsi="Arial" w:cs="Arial"/>
          <w:sz w:val="20"/>
          <w:szCs w:val="20"/>
        </w:rPr>
      </w:pPr>
      <w:r w:rsidRPr="00370BAE">
        <w:rPr>
          <w:rFonts w:ascii="Arial" w:hAnsi="Arial" w:cs="Arial"/>
          <w:sz w:val="20"/>
          <w:szCs w:val="20"/>
        </w:rPr>
        <w:t xml:space="preserve">Y </w:t>
      </w:r>
      <w:r w:rsidR="009D118D" w:rsidRPr="00370BAE">
        <w:rPr>
          <w:rFonts w:ascii="Arial" w:hAnsi="Arial" w:cs="Arial"/>
          <w:sz w:val="20"/>
          <w:szCs w:val="20"/>
        </w:rPr>
        <w:t xml:space="preserve">sus </w:t>
      </w:r>
      <w:r w:rsidR="002B2542" w:rsidRPr="00370BAE">
        <w:rPr>
          <w:rFonts w:ascii="Arial" w:hAnsi="Arial" w:cs="Arial"/>
          <w:sz w:val="20"/>
          <w:szCs w:val="20"/>
        </w:rPr>
        <w:t>directrices asociadas</w:t>
      </w:r>
      <w:r w:rsidRPr="00370BAE">
        <w:rPr>
          <w:rFonts w:ascii="Arial" w:hAnsi="Arial" w:cs="Arial"/>
          <w:sz w:val="20"/>
          <w:szCs w:val="20"/>
        </w:rPr>
        <w:t xml:space="preserve"> tales como la </w:t>
      </w:r>
      <w:r w:rsidR="009D118D" w:rsidRPr="00370BAE">
        <w:rPr>
          <w:rFonts w:ascii="Arial" w:hAnsi="Arial" w:cs="Arial"/>
          <w:b/>
          <w:sz w:val="20"/>
          <w:szCs w:val="20"/>
        </w:rPr>
        <w:t xml:space="preserve">Directriz </w:t>
      </w:r>
      <w:r w:rsidR="007C100F" w:rsidRPr="00370BAE">
        <w:rPr>
          <w:rFonts w:ascii="Arial" w:hAnsi="Arial" w:cs="Arial"/>
          <w:b/>
          <w:sz w:val="20"/>
          <w:szCs w:val="20"/>
        </w:rPr>
        <w:t>Nº 098-H</w:t>
      </w:r>
      <w:r w:rsidR="007C100F" w:rsidRPr="00370BAE">
        <w:rPr>
          <w:rFonts w:ascii="Arial" w:hAnsi="Arial" w:cs="Arial"/>
          <w:sz w:val="20"/>
          <w:szCs w:val="20"/>
        </w:rPr>
        <w:t xml:space="preserve"> y sus modificaciones y renovaciones como la </w:t>
      </w:r>
      <w:r w:rsidR="007C100F" w:rsidRPr="00370BAE">
        <w:rPr>
          <w:rFonts w:ascii="Arial" w:hAnsi="Arial" w:cs="Arial"/>
          <w:b/>
          <w:sz w:val="20"/>
          <w:szCs w:val="20"/>
        </w:rPr>
        <w:t>Directriz Nº 003-H</w:t>
      </w:r>
      <w:r w:rsidR="007C100F" w:rsidRPr="00370BAE">
        <w:rPr>
          <w:rFonts w:ascii="Arial" w:hAnsi="Arial" w:cs="Arial"/>
          <w:sz w:val="20"/>
          <w:szCs w:val="20"/>
        </w:rPr>
        <w:t xml:space="preserve"> </w:t>
      </w:r>
      <w:r w:rsidRPr="00370BAE">
        <w:rPr>
          <w:rFonts w:ascii="Arial" w:hAnsi="Arial" w:cs="Arial"/>
          <w:sz w:val="20"/>
          <w:szCs w:val="20"/>
        </w:rPr>
        <w:t xml:space="preserve">donde se </w:t>
      </w:r>
      <w:r w:rsidR="007C100F" w:rsidRPr="00370BAE">
        <w:rPr>
          <w:rFonts w:ascii="Arial" w:hAnsi="Arial" w:cs="Arial"/>
          <w:sz w:val="20"/>
          <w:szCs w:val="20"/>
        </w:rPr>
        <w:t>ordena recortar el disponible presupuestario para la subpartida de tiempo extraordinario y afecta lo concerniente a la creación y renovación de plazas.</w:t>
      </w:r>
    </w:p>
    <w:p w14:paraId="0052F821" w14:textId="77777777" w:rsidR="00370BAE" w:rsidRPr="00370BAE" w:rsidRDefault="00370BAE" w:rsidP="00370BAE">
      <w:pPr>
        <w:pStyle w:val="Prrafodelista"/>
        <w:rPr>
          <w:rFonts w:ascii="Arial" w:hAnsi="Arial" w:cs="Arial"/>
          <w:sz w:val="20"/>
          <w:szCs w:val="20"/>
        </w:rPr>
      </w:pPr>
    </w:p>
    <w:p w14:paraId="0A05B8E6" w14:textId="77777777" w:rsidR="007C100F" w:rsidRPr="00370BAE" w:rsidRDefault="007C100F" w:rsidP="00370BAE">
      <w:pPr>
        <w:spacing w:line="360" w:lineRule="auto"/>
        <w:jc w:val="both"/>
        <w:rPr>
          <w:rFonts w:ascii="Arial" w:hAnsi="Arial" w:cs="Arial"/>
          <w:sz w:val="20"/>
          <w:szCs w:val="20"/>
        </w:rPr>
      </w:pPr>
      <w:r w:rsidRPr="00370BAE">
        <w:rPr>
          <w:rFonts w:ascii="Arial" w:hAnsi="Arial" w:cs="Arial"/>
          <w:sz w:val="20"/>
          <w:szCs w:val="20"/>
        </w:rPr>
        <w:t>Por medio de estas se recortó la partida de tiempo extraordinario</w:t>
      </w:r>
      <w:r w:rsidR="00CA739E" w:rsidRPr="00370BAE">
        <w:rPr>
          <w:rFonts w:ascii="Arial" w:hAnsi="Arial" w:cs="Arial"/>
          <w:sz w:val="20"/>
          <w:szCs w:val="20"/>
        </w:rPr>
        <w:t>,</w:t>
      </w:r>
      <w:r w:rsidRPr="00370BAE">
        <w:rPr>
          <w:rFonts w:ascii="Arial" w:hAnsi="Arial" w:cs="Arial"/>
          <w:sz w:val="20"/>
          <w:szCs w:val="20"/>
        </w:rPr>
        <w:t xml:space="preserve"> adicionalmente al recorte que ya había sido aplicado en la presentación de presupuesto</w:t>
      </w:r>
      <w:r w:rsidR="00CA739E" w:rsidRPr="00370BAE">
        <w:rPr>
          <w:rFonts w:ascii="Arial" w:hAnsi="Arial" w:cs="Arial"/>
          <w:sz w:val="20"/>
          <w:szCs w:val="20"/>
        </w:rPr>
        <w:t xml:space="preserve"> de DINADECO para el período</w:t>
      </w:r>
      <w:r w:rsidRPr="00370BAE">
        <w:rPr>
          <w:rFonts w:ascii="Arial" w:hAnsi="Arial" w:cs="Arial"/>
          <w:sz w:val="20"/>
          <w:szCs w:val="20"/>
        </w:rPr>
        <w:t xml:space="preserve">.  El efecto para la operación de las inspecciones en campo para los cuatro indicadores de producto señalados fue que en la práctica </w:t>
      </w:r>
      <w:r w:rsidR="00CA739E" w:rsidRPr="00370BAE">
        <w:rPr>
          <w:rFonts w:ascii="Arial" w:hAnsi="Arial" w:cs="Arial"/>
          <w:sz w:val="20"/>
          <w:szCs w:val="20"/>
        </w:rPr>
        <w:t xml:space="preserve">que la subpartida se </w:t>
      </w:r>
      <w:r w:rsidR="002B2542" w:rsidRPr="00370BAE">
        <w:rPr>
          <w:rFonts w:ascii="Arial" w:hAnsi="Arial" w:cs="Arial"/>
          <w:sz w:val="20"/>
          <w:szCs w:val="20"/>
        </w:rPr>
        <w:t>terminó</w:t>
      </w:r>
      <w:r w:rsidR="00CA739E" w:rsidRPr="00370BAE">
        <w:rPr>
          <w:rFonts w:ascii="Arial" w:hAnsi="Arial" w:cs="Arial"/>
          <w:sz w:val="20"/>
          <w:szCs w:val="20"/>
        </w:rPr>
        <w:t xml:space="preserve"> entre julio y agosto de 2018 para las Direcciones Regionales.</w:t>
      </w:r>
      <w:r w:rsidR="002B2542" w:rsidRPr="00370BAE">
        <w:rPr>
          <w:rFonts w:ascii="Arial" w:hAnsi="Arial" w:cs="Arial"/>
          <w:sz w:val="20"/>
          <w:szCs w:val="20"/>
        </w:rPr>
        <w:t xml:space="preserve">  Según Alexander </w:t>
      </w:r>
      <w:r w:rsidR="00370BAE" w:rsidRPr="00370BAE">
        <w:rPr>
          <w:rFonts w:ascii="Arial" w:hAnsi="Arial" w:cs="Arial"/>
          <w:sz w:val="20"/>
          <w:szCs w:val="20"/>
        </w:rPr>
        <w:t>Martínez</w:t>
      </w:r>
      <w:r w:rsidR="002B2542" w:rsidRPr="00370BAE">
        <w:rPr>
          <w:rFonts w:ascii="Arial" w:hAnsi="Arial" w:cs="Arial"/>
          <w:sz w:val="20"/>
          <w:szCs w:val="20"/>
        </w:rPr>
        <w:t>, ex director de la DTO dicha subpartida fue reducida en términos reales en un 50%.</w:t>
      </w:r>
    </w:p>
    <w:p w14:paraId="1892F7CC" w14:textId="77777777" w:rsidR="00CA739E" w:rsidRPr="00F82D83" w:rsidRDefault="00CA739E" w:rsidP="008321DA">
      <w:pPr>
        <w:spacing w:line="360" w:lineRule="auto"/>
        <w:jc w:val="both"/>
        <w:rPr>
          <w:rFonts w:ascii="Arial" w:hAnsi="Arial" w:cs="Arial"/>
          <w:sz w:val="20"/>
          <w:szCs w:val="20"/>
        </w:rPr>
      </w:pPr>
    </w:p>
    <w:p w14:paraId="5938FD5A" w14:textId="77777777" w:rsidR="007C100F" w:rsidRPr="00F82D83" w:rsidRDefault="00CA739E" w:rsidP="008321DA">
      <w:pPr>
        <w:spacing w:line="360" w:lineRule="auto"/>
        <w:jc w:val="both"/>
        <w:rPr>
          <w:rFonts w:ascii="Arial" w:hAnsi="Arial" w:cs="Arial"/>
          <w:sz w:val="20"/>
          <w:szCs w:val="20"/>
        </w:rPr>
      </w:pPr>
      <w:r w:rsidRPr="00F82D83">
        <w:rPr>
          <w:rFonts w:ascii="Arial" w:hAnsi="Arial" w:cs="Arial"/>
          <w:sz w:val="20"/>
          <w:szCs w:val="20"/>
        </w:rPr>
        <w:t xml:space="preserve">Como ya se ha señalado anteriormente para el logro de los indicadores de </w:t>
      </w:r>
      <w:r w:rsidR="0078422A" w:rsidRPr="00F82D83">
        <w:rPr>
          <w:rFonts w:ascii="Arial" w:hAnsi="Arial" w:cs="Arial"/>
          <w:sz w:val="20"/>
          <w:szCs w:val="20"/>
        </w:rPr>
        <w:t>producto se</w:t>
      </w:r>
      <w:r w:rsidRPr="00F82D83">
        <w:rPr>
          <w:rFonts w:ascii="Arial" w:hAnsi="Arial" w:cs="Arial"/>
          <w:sz w:val="20"/>
          <w:szCs w:val="20"/>
        </w:rPr>
        <w:t xml:space="preserve"> requiere del trabajo en campo de las Direcciones Regionales y al verse liquidados los recursos de esta subpartida el efecto inmediato fue la disminución en el logro.</w:t>
      </w:r>
      <w:r w:rsidR="002B2542" w:rsidRPr="00F82D83">
        <w:rPr>
          <w:rFonts w:ascii="Arial" w:hAnsi="Arial" w:cs="Arial"/>
          <w:sz w:val="20"/>
          <w:szCs w:val="20"/>
        </w:rPr>
        <w:t xml:space="preserve">  </w:t>
      </w:r>
    </w:p>
    <w:p w14:paraId="7A5C55BF" w14:textId="77777777" w:rsidR="007C100F" w:rsidRPr="00F82D83" w:rsidRDefault="007C100F" w:rsidP="008321DA">
      <w:pPr>
        <w:spacing w:line="360" w:lineRule="auto"/>
        <w:jc w:val="both"/>
        <w:rPr>
          <w:rFonts w:ascii="Arial" w:hAnsi="Arial" w:cs="Arial"/>
          <w:sz w:val="20"/>
          <w:szCs w:val="20"/>
        </w:rPr>
      </w:pPr>
    </w:p>
    <w:p w14:paraId="4352860F" w14:textId="77777777" w:rsidR="00481152" w:rsidRPr="00F82D83" w:rsidRDefault="00CA739E" w:rsidP="0078422A">
      <w:pPr>
        <w:spacing w:line="360" w:lineRule="auto"/>
        <w:jc w:val="both"/>
        <w:rPr>
          <w:rFonts w:ascii="Arial" w:hAnsi="Arial" w:cs="Arial"/>
          <w:sz w:val="20"/>
          <w:szCs w:val="20"/>
        </w:rPr>
      </w:pPr>
      <w:r w:rsidRPr="00F82D83">
        <w:rPr>
          <w:rFonts w:ascii="Arial" w:hAnsi="Arial" w:cs="Arial"/>
          <w:sz w:val="20"/>
          <w:szCs w:val="20"/>
        </w:rPr>
        <w:t xml:space="preserve">Por último, para el ejercicio fiscal del año 2019 es importante señalar que </w:t>
      </w:r>
      <w:bookmarkEnd w:id="13"/>
      <w:r w:rsidRPr="00F82D83">
        <w:rPr>
          <w:rFonts w:ascii="Arial" w:hAnsi="Arial" w:cs="Arial"/>
          <w:sz w:val="20"/>
          <w:szCs w:val="20"/>
        </w:rPr>
        <w:t xml:space="preserve">según la </w:t>
      </w:r>
      <w:r w:rsidR="00DE4D46" w:rsidRPr="00F82D83">
        <w:rPr>
          <w:rFonts w:ascii="Arial" w:hAnsi="Arial" w:cs="Arial"/>
          <w:sz w:val="20"/>
          <w:szCs w:val="20"/>
        </w:rPr>
        <w:t>DIRECTRIZ NÚMERO 012-H    Artículo 1º. La formulación del proyecto de Presupuesto de la República para el ejercicio</w:t>
      </w:r>
      <w:r w:rsidRPr="00F82D83">
        <w:rPr>
          <w:rFonts w:ascii="Arial" w:hAnsi="Arial" w:cs="Arial"/>
          <w:sz w:val="20"/>
          <w:szCs w:val="20"/>
        </w:rPr>
        <w:t xml:space="preserve"> </w:t>
      </w:r>
      <w:r w:rsidR="00DE4D46" w:rsidRPr="00F82D83">
        <w:rPr>
          <w:rFonts w:ascii="Arial" w:hAnsi="Arial" w:cs="Arial"/>
          <w:sz w:val="20"/>
          <w:szCs w:val="20"/>
        </w:rPr>
        <w:t>económico 2019 no contemplará aumento nominal alguno con respecto al Presupuesto</w:t>
      </w:r>
      <w:r w:rsidR="0078422A" w:rsidRPr="00F82D83">
        <w:rPr>
          <w:rFonts w:ascii="Arial" w:hAnsi="Arial" w:cs="Arial"/>
          <w:sz w:val="20"/>
          <w:szCs w:val="20"/>
        </w:rPr>
        <w:t xml:space="preserve"> </w:t>
      </w:r>
      <w:r w:rsidR="00DE4D46" w:rsidRPr="00F82D83">
        <w:rPr>
          <w:rFonts w:ascii="Arial" w:hAnsi="Arial" w:cs="Arial"/>
          <w:sz w:val="20"/>
          <w:szCs w:val="20"/>
        </w:rPr>
        <w:t xml:space="preserve">2018. </w:t>
      </w:r>
    </w:p>
    <w:p w14:paraId="4FEDC916" w14:textId="77777777" w:rsidR="009D118D" w:rsidRPr="00F82D83" w:rsidRDefault="009D118D" w:rsidP="008C0CB8">
      <w:pPr>
        <w:pStyle w:val="Sangra2detindependiente"/>
        <w:ind w:left="0"/>
        <w:jc w:val="both"/>
        <w:rPr>
          <w:rFonts w:ascii="Arial" w:hAnsi="Arial" w:cs="Arial"/>
          <w:b/>
          <w:bCs/>
          <w:sz w:val="20"/>
          <w:szCs w:val="20"/>
        </w:rPr>
      </w:pPr>
    </w:p>
    <w:p w14:paraId="70483073" w14:textId="77777777" w:rsidR="009D118D" w:rsidRPr="00F82D83" w:rsidRDefault="009D118D" w:rsidP="008C0CB8">
      <w:pPr>
        <w:pStyle w:val="Sangra2detindependiente"/>
        <w:ind w:left="0"/>
        <w:jc w:val="both"/>
        <w:rPr>
          <w:rFonts w:ascii="Arial" w:hAnsi="Arial" w:cs="Arial"/>
          <w:b/>
          <w:bCs/>
          <w:sz w:val="20"/>
          <w:szCs w:val="20"/>
        </w:rPr>
      </w:pPr>
    </w:p>
    <w:p w14:paraId="1C77955B" w14:textId="77777777" w:rsidR="009D118D" w:rsidRPr="00F82D83" w:rsidRDefault="002B2542" w:rsidP="007D09DB">
      <w:pPr>
        <w:spacing w:line="360" w:lineRule="auto"/>
        <w:jc w:val="both"/>
        <w:rPr>
          <w:rFonts w:ascii="Arial" w:hAnsi="Arial" w:cs="Arial"/>
          <w:sz w:val="20"/>
          <w:szCs w:val="20"/>
        </w:rPr>
      </w:pPr>
      <w:r w:rsidRPr="00F82D83">
        <w:rPr>
          <w:rFonts w:ascii="Arial" w:hAnsi="Arial" w:cs="Arial"/>
          <w:sz w:val="20"/>
          <w:szCs w:val="20"/>
        </w:rPr>
        <w:t xml:space="preserve">En cuanto a la ejecución del producto “Capacitaciones” como ya se mencionó </w:t>
      </w:r>
      <w:r w:rsidR="007D09DB" w:rsidRPr="00F82D83">
        <w:rPr>
          <w:rFonts w:ascii="Arial" w:hAnsi="Arial" w:cs="Arial"/>
          <w:sz w:val="20"/>
          <w:szCs w:val="20"/>
        </w:rPr>
        <w:t>no se contó con financiamiento para alimentación de las organizaciones comunales de orden superior por lo que el cumplimiento acumulado para todo el período que va desde de este indicador quedó en 52.2% basado en las actividades realizadas durante el 2016 y 2017</w:t>
      </w:r>
    </w:p>
    <w:p w14:paraId="32A974FD" w14:textId="77777777" w:rsidR="00F95090" w:rsidRPr="00F82D83" w:rsidRDefault="00F95090" w:rsidP="008C0CB8">
      <w:pPr>
        <w:pStyle w:val="Sangra2detindependiente"/>
        <w:ind w:left="0"/>
        <w:jc w:val="both"/>
        <w:rPr>
          <w:rFonts w:ascii="Arial" w:hAnsi="Arial" w:cs="Arial"/>
          <w:b/>
          <w:bCs/>
          <w:sz w:val="20"/>
          <w:szCs w:val="20"/>
        </w:rPr>
      </w:pPr>
    </w:p>
    <w:p w14:paraId="29F9D8D7" w14:textId="77777777" w:rsidR="007D09DB" w:rsidRPr="00F82D83" w:rsidRDefault="007D09DB" w:rsidP="008C0CB8">
      <w:pPr>
        <w:pStyle w:val="Sangra2detindependiente"/>
        <w:ind w:left="0"/>
        <w:jc w:val="both"/>
        <w:rPr>
          <w:rFonts w:ascii="Arial" w:hAnsi="Arial" w:cs="Arial"/>
          <w:b/>
          <w:bCs/>
          <w:sz w:val="20"/>
          <w:szCs w:val="20"/>
        </w:rPr>
      </w:pPr>
    </w:p>
    <w:p w14:paraId="71007C28" w14:textId="77777777" w:rsidR="00F95090" w:rsidRPr="00F82D83" w:rsidRDefault="00F95090" w:rsidP="008C0CB8">
      <w:pPr>
        <w:pStyle w:val="Sangra2detindependiente"/>
        <w:ind w:left="0"/>
        <w:jc w:val="both"/>
        <w:rPr>
          <w:rFonts w:ascii="Arial" w:hAnsi="Arial" w:cs="Arial"/>
          <w:b/>
          <w:bCs/>
          <w:sz w:val="20"/>
          <w:szCs w:val="20"/>
        </w:rPr>
      </w:pPr>
    </w:p>
    <w:p w14:paraId="3AA7F262" w14:textId="77777777" w:rsidR="007B16AB" w:rsidRPr="00F82D83" w:rsidRDefault="007B16AB" w:rsidP="008C0CB8">
      <w:pPr>
        <w:pStyle w:val="Sangra2detindependiente"/>
        <w:ind w:left="0"/>
        <w:jc w:val="both"/>
        <w:rPr>
          <w:rFonts w:ascii="Arial" w:hAnsi="Arial" w:cs="Arial"/>
          <w:b/>
          <w:bCs/>
          <w:color w:val="000000" w:themeColor="text1"/>
          <w:sz w:val="20"/>
          <w:szCs w:val="20"/>
        </w:rPr>
      </w:pPr>
      <w:r w:rsidRPr="00F82D83">
        <w:rPr>
          <w:rFonts w:ascii="Arial" w:hAnsi="Arial" w:cs="Arial"/>
          <w:b/>
          <w:bCs/>
          <w:color w:val="000000" w:themeColor="text1"/>
          <w:sz w:val="20"/>
          <w:szCs w:val="20"/>
        </w:rPr>
        <w:t>Datos del</w:t>
      </w:r>
      <w:r w:rsidR="005C79B9" w:rsidRPr="00F82D83">
        <w:rPr>
          <w:rFonts w:ascii="Arial" w:hAnsi="Arial" w:cs="Arial"/>
          <w:b/>
          <w:bCs/>
          <w:color w:val="000000" w:themeColor="text1"/>
          <w:sz w:val="20"/>
          <w:szCs w:val="20"/>
        </w:rPr>
        <w:t xml:space="preserve"> (la)</w:t>
      </w:r>
      <w:r w:rsidR="008B3AE5" w:rsidRPr="00F82D83">
        <w:rPr>
          <w:rFonts w:ascii="Arial" w:hAnsi="Arial" w:cs="Arial"/>
          <w:b/>
          <w:bCs/>
          <w:color w:val="000000" w:themeColor="text1"/>
          <w:sz w:val="20"/>
          <w:szCs w:val="20"/>
        </w:rPr>
        <w:t xml:space="preserve"> Director</w:t>
      </w:r>
      <w:r w:rsidR="005C79B9" w:rsidRPr="00F82D83">
        <w:rPr>
          <w:rFonts w:ascii="Arial" w:hAnsi="Arial" w:cs="Arial"/>
          <w:b/>
          <w:bCs/>
          <w:color w:val="000000" w:themeColor="text1"/>
          <w:sz w:val="20"/>
          <w:szCs w:val="20"/>
        </w:rPr>
        <w:t xml:space="preserve"> (a)</w:t>
      </w:r>
      <w:r w:rsidR="008B3AE5" w:rsidRPr="00F82D83">
        <w:rPr>
          <w:rFonts w:ascii="Arial" w:hAnsi="Arial" w:cs="Arial"/>
          <w:b/>
          <w:bCs/>
          <w:color w:val="000000" w:themeColor="text1"/>
          <w:sz w:val="20"/>
          <w:szCs w:val="20"/>
        </w:rPr>
        <w:t xml:space="preserve"> del</w:t>
      </w:r>
      <w:r w:rsidR="002E7114" w:rsidRPr="00F82D83">
        <w:rPr>
          <w:rFonts w:ascii="Arial" w:hAnsi="Arial" w:cs="Arial"/>
          <w:b/>
          <w:bCs/>
          <w:color w:val="000000" w:themeColor="text1"/>
          <w:sz w:val="20"/>
          <w:szCs w:val="20"/>
        </w:rPr>
        <w:t xml:space="preserve"> P</w:t>
      </w:r>
      <w:r w:rsidR="009C74A2" w:rsidRPr="00F82D83">
        <w:rPr>
          <w:rFonts w:ascii="Arial" w:hAnsi="Arial" w:cs="Arial"/>
          <w:b/>
          <w:bCs/>
          <w:color w:val="000000" w:themeColor="text1"/>
          <w:sz w:val="20"/>
          <w:szCs w:val="20"/>
        </w:rPr>
        <w:t>rograma</w:t>
      </w:r>
      <w:r w:rsidR="00117EC9" w:rsidRPr="00F82D83">
        <w:rPr>
          <w:rFonts w:ascii="Arial" w:hAnsi="Arial" w:cs="Arial"/>
          <w:b/>
          <w:bCs/>
          <w:color w:val="000000" w:themeColor="text1"/>
          <w:sz w:val="20"/>
          <w:szCs w:val="20"/>
        </w:rPr>
        <w:t xml:space="preserve"> o Subprograma</w:t>
      </w:r>
      <w:r w:rsidRPr="00F82D83">
        <w:rPr>
          <w:rFonts w:ascii="Arial" w:hAnsi="Arial" w:cs="Arial"/>
          <w:b/>
          <w:bCs/>
          <w:color w:val="000000" w:themeColor="text1"/>
          <w:sz w:val="20"/>
          <w:szCs w:val="20"/>
        </w:rPr>
        <w:t>:</w:t>
      </w:r>
    </w:p>
    <w:p w14:paraId="580A6A26" w14:textId="77777777" w:rsidR="006F44D4" w:rsidRPr="00F82D83" w:rsidRDefault="006F44D4" w:rsidP="00815D4C">
      <w:pPr>
        <w:pStyle w:val="Sangra2detindependiente"/>
        <w:ind w:left="0"/>
        <w:rPr>
          <w:rFonts w:ascii="Arial" w:hAnsi="Arial" w:cs="Arial"/>
          <w:b/>
          <w:bCs/>
          <w:sz w:val="20"/>
          <w:szCs w:val="20"/>
        </w:rPr>
      </w:pPr>
    </w:p>
    <w:p w14:paraId="229717C3" w14:textId="77777777" w:rsidR="006F44D4" w:rsidRPr="00F82D83" w:rsidRDefault="007B16AB" w:rsidP="00006D90">
      <w:pPr>
        <w:pStyle w:val="Sangra2detindependiente"/>
        <w:ind w:left="0"/>
        <w:jc w:val="both"/>
        <w:rPr>
          <w:rFonts w:ascii="Arial" w:hAnsi="Arial" w:cs="Arial"/>
          <w:b/>
          <w:bCs/>
          <w:sz w:val="20"/>
          <w:szCs w:val="20"/>
        </w:rPr>
      </w:pPr>
      <w:r w:rsidRPr="00F82D83">
        <w:rPr>
          <w:rFonts w:ascii="Arial" w:hAnsi="Arial" w:cs="Arial"/>
          <w:b/>
          <w:bCs/>
          <w:sz w:val="20"/>
          <w:szCs w:val="20"/>
        </w:rPr>
        <w:t>Nombre:</w:t>
      </w:r>
      <w:r w:rsidR="004D3095" w:rsidRPr="00F82D83">
        <w:rPr>
          <w:rFonts w:ascii="Arial" w:hAnsi="Arial" w:cs="Arial"/>
          <w:b/>
          <w:bCs/>
          <w:sz w:val="20"/>
          <w:szCs w:val="20"/>
        </w:rPr>
        <w:t xml:space="preserve"> </w:t>
      </w:r>
      <w:r w:rsidR="00B31899" w:rsidRPr="00F82D83">
        <w:rPr>
          <w:rFonts w:ascii="Arial" w:hAnsi="Arial" w:cs="Arial"/>
          <w:b/>
          <w:bCs/>
          <w:sz w:val="20"/>
          <w:szCs w:val="20"/>
        </w:rPr>
        <w:t xml:space="preserve">  Sr. Franklin Corella Vargas</w:t>
      </w:r>
    </w:p>
    <w:p w14:paraId="19775328" w14:textId="77777777" w:rsidR="00815D4C" w:rsidRPr="00F82D83" w:rsidRDefault="00815D4C" w:rsidP="0072096C">
      <w:pPr>
        <w:pStyle w:val="Sangra2detindependiente"/>
        <w:ind w:left="0"/>
        <w:rPr>
          <w:rFonts w:ascii="Arial" w:hAnsi="Arial" w:cs="Arial"/>
          <w:b/>
          <w:bCs/>
          <w:sz w:val="20"/>
          <w:szCs w:val="20"/>
        </w:rPr>
      </w:pPr>
    </w:p>
    <w:p w14:paraId="11BDEBAB" w14:textId="77777777" w:rsidR="00006D90" w:rsidRPr="00F82D83" w:rsidRDefault="007B16AB" w:rsidP="00B31899">
      <w:pPr>
        <w:pStyle w:val="Sangra2detindependiente"/>
        <w:ind w:left="0"/>
        <w:rPr>
          <w:rFonts w:ascii="Arial" w:hAnsi="Arial" w:cs="Arial"/>
          <w:b/>
          <w:bCs/>
          <w:sz w:val="20"/>
          <w:szCs w:val="20"/>
        </w:rPr>
      </w:pPr>
      <w:r w:rsidRPr="00F82D83">
        <w:rPr>
          <w:rFonts w:ascii="Arial" w:hAnsi="Arial" w:cs="Arial"/>
          <w:b/>
          <w:bCs/>
          <w:sz w:val="20"/>
          <w:szCs w:val="20"/>
        </w:rPr>
        <w:t>Dirección de correo electrónico</w:t>
      </w:r>
      <w:r w:rsidR="00507AAF" w:rsidRPr="00F82D83">
        <w:rPr>
          <w:rFonts w:ascii="Arial" w:hAnsi="Arial" w:cs="Arial"/>
          <w:b/>
          <w:bCs/>
          <w:sz w:val="20"/>
          <w:szCs w:val="20"/>
        </w:rPr>
        <w:t>: franklincorelladnd@gmail.com</w:t>
      </w:r>
    </w:p>
    <w:p w14:paraId="3E06B332" w14:textId="77777777" w:rsidR="006F44D4" w:rsidRPr="00F82D83" w:rsidRDefault="006F44D4" w:rsidP="00006D90">
      <w:pPr>
        <w:pStyle w:val="Sangra2detindependiente"/>
        <w:ind w:left="0"/>
        <w:rPr>
          <w:rFonts w:ascii="Arial" w:hAnsi="Arial" w:cs="Arial"/>
          <w:b/>
          <w:bCs/>
          <w:sz w:val="20"/>
          <w:szCs w:val="20"/>
        </w:rPr>
      </w:pPr>
    </w:p>
    <w:p w14:paraId="22156839" w14:textId="77777777" w:rsidR="00006D90" w:rsidRPr="00F82D83" w:rsidRDefault="007B16AB" w:rsidP="00006D90">
      <w:pPr>
        <w:pStyle w:val="Sangra2detindependiente"/>
        <w:ind w:left="0"/>
        <w:jc w:val="both"/>
        <w:rPr>
          <w:rFonts w:ascii="Arial" w:hAnsi="Arial" w:cs="Arial"/>
          <w:b/>
          <w:bCs/>
          <w:sz w:val="20"/>
          <w:szCs w:val="20"/>
        </w:rPr>
      </w:pPr>
      <w:r w:rsidRPr="00F82D83">
        <w:rPr>
          <w:rFonts w:ascii="Arial" w:hAnsi="Arial" w:cs="Arial"/>
          <w:b/>
          <w:bCs/>
          <w:sz w:val="20"/>
          <w:szCs w:val="20"/>
        </w:rPr>
        <w:t xml:space="preserve">Número </w:t>
      </w:r>
      <w:r w:rsidR="00383DA2" w:rsidRPr="00F82D83">
        <w:rPr>
          <w:rFonts w:ascii="Arial" w:hAnsi="Arial" w:cs="Arial"/>
          <w:b/>
          <w:bCs/>
          <w:sz w:val="20"/>
          <w:szCs w:val="20"/>
        </w:rPr>
        <w:t>t</w:t>
      </w:r>
      <w:r w:rsidRPr="00F82D83">
        <w:rPr>
          <w:rFonts w:ascii="Arial" w:hAnsi="Arial" w:cs="Arial"/>
          <w:b/>
          <w:bCs/>
          <w:sz w:val="20"/>
          <w:szCs w:val="20"/>
        </w:rPr>
        <w:t>elefónico</w:t>
      </w:r>
      <w:r w:rsidR="00507AAF" w:rsidRPr="00F82D83">
        <w:rPr>
          <w:rFonts w:ascii="Arial" w:hAnsi="Arial" w:cs="Arial"/>
          <w:b/>
          <w:bCs/>
          <w:sz w:val="20"/>
          <w:szCs w:val="20"/>
        </w:rPr>
        <w:t>: 2528</w:t>
      </w:r>
      <w:r w:rsidR="00B31899" w:rsidRPr="00F82D83">
        <w:rPr>
          <w:rFonts w:ascii="Arial" w:hAnsi="Arial" w:cs="Arial"/>
          <w:b/>
          <w:bCs/>
          <w:sz w:val="20"/>
          <w:szCs w:val="20"/>
        </w:rPr>
        <w:t>-4152</w:t>
      </w:r>
    </w:p>
    <w:p w14:paraId="2A4C0B21" w14:textId="77777777" w:rsidR="00815D4C" w:rsidRPr="00F82D83" w:rsidRDefault="00815D4C" w:rsidP="00006D90">
      <w:pPr>
        <w:pStyle w:val="Sangra2detindependiente"/>
        <w:ind w:left="0"/>
        <w:jc w:val="both"/>
        <w:rPr>
          <w:rFonts w:ascii="Arial" w:hAnsi="Arial" w:cs="Arial"/>
          <w:b/>
          <w:bCs/>
          <w:sz w:val="20"/>
          <w:szCs w:val="20"/>
        </w:rPr>
      </w:pPr>
    </w:p>
    <w:p w14:paraId="4253C236" w14:textId="77777777" w:rsidR="009C74A2" w:rsidRPr="00F82D83" w:rsidRDefault="008B3AE5" w:rsidP="00B22135">
      <w:pPr>
        <w:pStyle w:val="Sangra2detindependiente"/>
        <w:ind w:left="0"/>
        <w:jc w:val="both"/>
        <w:rPr>
          <w:rFonts w:ascii="Arial" w:hAnsi="Arial" w:cs="Arial"/>
          <w:b/>
          <w:bCs/>
          <w:sz w:val="20"/>
          <w:szCs w:val="20"/>
        </w:rPr>
      </w:pPr>
      <w:r w:rsidRPr="00F82D83">
        <w:rPr>
          <w:rFonts w:ascii="Arial" w:hAnsi="Arial" w:cs="Arial"/>
          <w:b/>
          <w:bCs/>
          <w:sz w:val="20"/>
          <w:szCs w:val="20"/>
        </w:rPr>
        <w:t>Firma</w:t>
      </w:r>
      <w:r w:rsidR="007B16AB" w:rsidRPr="00F82D83">
        <w:rPr>
          <w:rFonts w:ascii="Arial" w:hAnsi="Arial" w:cs="Arial"/>
          <w:b/>
          <w:bCs/>
          <w:sz w:val="20"/>
          <w:szCs w:val="20"/>
        </w:rPr>
        <w:t>:</w:t>
      </w:r>
    </w:p>
    <w:p w14:paraId="224E6790" w14:textId="77777777" w:rsidR="00B22135" w:rsidRPr="00F82D83" w:rsidRDefault="00B22135" w:rsidP="00B22135">
      <w:pPr>
        <w:pStyle w:val="Sangra2detindependiente"/>
        <w:ind w:left="0"/>
        <w:jc w:val="both"/>
        <w:rPr>
          <w:rFonts w:ascii="Arial" w:hAnsi="Arial" w:cs="Arial"/>
          <w:b/>
          <w:bCs/>
          <w:sz w:val="20"/>
          <w:szCs w:val="20"/>
          <w:highlight w:val="yellow"/>
        </w:rPr>
      </w:pPr>
    </w:p>
    <w:p w14:paraId="34E7BFE7" w14:textId="77777777" w:rsidR="007B16AB" w:rsidRPr="00F82D83" w:rsidRDefault="009C74A2" w:rsidP="00B22135">
      <w:pPr>
        <w:pStyle w:val="Sangra2detindependiente"/>
        <w:ind w:left="0"/>
        <w:jc w:val="both"/>
        <w:rPr>
          <w:rFonts w:ascii="Arial" w:hAnsi="Arial" w:cs="Arial"/>
          <w:sz w:val="20"/>
          <w:szCs w:val="20"/>
        </w:rPr>
      </w:pPr>
      <w:r w:rsidRPr="00F82D83">
        <w:rPr>
          <w:rFonts w:ascii="Arial" w:hAnsi="Arial" w:cs="Arial"/>
          <w:b/>
          <w:bCs/>
          <w:sz w:val="20"/>
          <w:szCs w:val="20"/>
        </w:rPr>
        <w:t>Sello</w:t>
      </w:r>
      <w:r w:rsidRPr="00F82D83">
        <w:rPr>
          <w:rFonts w:ascii="Arial" w:hAnsi="Arial" w:cs="Arial"/>
          <w:sz w:val="20"/>
          <w:szCs w:val="20"/>
        </w:rPr>
        <w:t xml:space="preserve">: </w:t>
      </w:r>
      <w:r w:rsidR="00D471D5" w:rsidRPr="00F82D83">
        <w:rPr>
          <w:rFonts w:ascii="Arial" w:hAnsi="Arial" w:cs="Arial"/>
          <w:i/>
          <w:sz w:val="20"/>
          <w:szCs w:val="20"/>
        </w:rPr>
        <w:t>(en caso que se presente en forma física)</w:t>
      </w:r>
    </w:p>
    <w:p w14:paraId="39B9CA6C" w14:textId="77777777" w:rsidR="00A36489" w:rsidRPr="00F82D83" w:rsidRDefault="00A36489" w:rsidP="008C0CB8">
      <w:pPr>
        <w:spacing w:after="120"/>
        <w:jc w:val="both"/>
        <w:rPr>
          <w:rFonts w:ascii="Arial" w:hAnsi="Arial" w:cs="Arial"/>
          <w:color w:val="FF0000"/>
          <w:sz w:val="20"/>
          <w:szCs w:val="20"/>
          <w:lang w:val="es-MX"/>
        </w:rPr>
      </w:pPr>
    </w:p>
    <w:sectPr w:rsidR="00A36489" w:rsidRPr="00F82D83" w:rsidSect="00F82D83">
      <w:footerReference w:type="default" r:id="rId8"/>
      <w:headerReference w:type="first" r:id="rId9"/>
      <w:type w:val="continuous"/>
      <w:pgSz w:w="12242" w:h="15842" w:code="1"/>
      <w:pgMar w:top="1418" w:right="1701" w:bottom="1077" w:left="1701" w:header="737" w:footer="567" w:gutter="0"/>
      <w:pgNumType w:start="0"/>
      <w:cols w:space="708" w:equalWidth="0">
        <w:col w:w="8504"/>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6BAB3" w14:textId="77777777" w:rsidR="00B2036E" w:rsidRDefault="00B2036E">
      <w:r>
        <w:separator/>
      </w:r>
    </w:p>
  </w:endnote>
  <w:endnote w:type="continuationSeparator" w:id="0">
    <w:p w14:paraId="05E656C8" w14:textId="77777777" w:rsidR="00B2036E" w:rsidRDefault="00B2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93394"/>
      <w:docPartObj>
        <w:docPartGallery w:val="Page Numbers (Bottom of Page)"/>
        <w:docPartUnique/>
      </w:docPartObj>
    </w:sdtPr>
    <w:sdtEndPr/>
    <w:sdtContent>
      <w:p w14:paraId="49179C3E" w14:textId="4FBD47B3" w:rsidR="001B3CF3" w:rsidRDefault="001B3CF3">
        <w:pPr>
          <w:pStyle w:val="Piedepgina"/>
          <w:jc w:val="right"/>
        </w:pPr>
        <w:r>
          <w:fldChar w:fldCharType="begin"/>
        </w:r>
        <w:r>
          <w:instrText>PAGE   \* MERGEFORMAT</w:instrText>
        </w:r>
        <w:r>
          <w:fldChar w:fldCharType="separate"/>
        </w:r>
        <w:r w:rsidR="00D615C6">
          <w:rPr>
            <w:noProof/>
          </w:rPr>
          <w:t>19</w:t>
        </w:r>
        <w:r>
          <w:fldChar w:fldCharType="end"/>
        </w:r>
      </w:p>
    </w:sdtContent>
  </w:sdt>
  <w:p w14:paraId="29D1D802" w14:textId="77777777" w:rsidR="001B3CF3" w:rsidRPr="00EB7BAD" w:rsidRDefault="001B3CF3" w:rsidP="00E54F02">
    <w:pPr>
      <w:pStyle w:val="Piedepgina"/>
      <w:tabs>
        <w:tab w:val="right" w:pos="8789"/>
      </w:tabs>
      <w:spacing w:before="120" w:after="100" w:afterAutospacing="1"/>
      <w:jc w:val="center"/>
      <w:rPr>
        <w:lang w:val="es-C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7129" w14:textId="77777777" w:rsidR="00B2036E" w:rsidRDefault="00B2036E">
      <w:r>
        <w:separator/>
      </w:r>
    </w:p>
  </w:footnote>
  <w:footnote w:type="continuationSeparator" w:id="0">
    <w:p w14:paraId="0D250E8F" w14:textId="77777777" w:rsidR="00B2036E" w:rsidRDefault="00B2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FFBE" w14:textId="77777777" w:rsidR="001B3CF3" w:rsidRDefault="001B3CF3" w:rsidP="005A4907">
    <w:pPr>
      <w:pStyle w:val="Encabezado"/>
      <w:jc w:val="center"/>
    </w:pPr>
    <w:r>
      <w:rPr>
        <w:noProof/>
        <w:lang w:val="es-CR" w:eastAsia="es-CR"/>
      </w:rPr>
      <w:drawing>
        <wp:inline distT="0" distB="0" distL="0" distR="0" wp14:anchorId="2CD9399A" wp14:editId="24839107">
          <wp:extent cx="4371975" cy="1625573"/>
          <wp:effectExtent l="0" t="0" r="0" b="0"/>
          <wp:docPr id="1" name="Imagen 1" descr="C:\Users\Augusto Sanarrusia\Documents\Efectivida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gusto Sanarrusia\Documents\Efectivida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4705" cy="16377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68F"/>
    <w:multiLevelType w:val="hybridMultilevel"/>
    <w:tmpl w:val="EF8A460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014686"/>
    <w:multiLevelType w:val="hybridMultilevel"/>
    <w:tmpl w:val="972031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85F5D78"/>
    <w:multiLevelType w:val="hybridMultilevel"/>
    <w:tmpl w:val="13CCDFEE"/>
    <w:lvl w:ilvl="0" w:tplc="67BC16E0">
      <w:start w:val="1"/>
      <w:numFmt w:val="upperRoman"/>
      <w:pStyle w:val="Ttulo2"/>
      <w:lvlText w:val="%1."/>
      <w:lvlJc w:val="right"/>
      <w:pPr>
        <w:ind w:left="360" w:hanging="360"/>
      </w:pPr>
      <w:rPr>
        <w:b w:val="0"/>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A41EB5"/>
    <w:multiLevelType w:val="hybridMultilevel"/>
    <w:tmpl w:val="9A901488"/>
    <w:lvl w:ilvl="0" w:tplc="D74C0B4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507C98"/>
    <w:multiLevelType w:val="hybridMultilevel"/>
    <w:tmpl w:val="2E6EB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34F56E3"/>
    <w:multiLevelType w:val="hybridMultilevel"/>
    <w:tmpl w:val="17FA27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5851FE2"/>
    <w:multiLevelType w:val="hybridMultilevel"/>
    <w:tmpl w:val="AAD2DB34"/>
    <w:lvl w:ilvl="0" w:tplc="D74C0B4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7267DBF"/>
    <w:multiLevelType w:val="hybridMultilevel"/>
    <w:tmpl w:val="D84C85A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780761E"/>
    <w:multiLevelType w:val="multilevel"/>
    <w:tmpl w:val="67628B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8986D55"/>
    <w:multiLevelType w:val="hybridMultilevel"/>
    <w:tmpl w:val="F4E22A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AB03F5"/>
    <w:multiLevelType w:val="hybridMultilevel"/>
    <w:tmpl w:val="EB62B54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A103890"/>
    <w:multiLevelType w:val="hybridMultilevel"/>
    <w:tmpl w:val="623CECD8"/>
    <w:lvl w:ilvl="0" w:tplc="D74C0B4E">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D262C56"/>
    <w:multiLevelType w:val="hybridMultilevel"/>
    <w:tmpl w:val="1F1CBA94"/>
    <w:lvl w:ilvl="0" w:tplc="D74C0B4E">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5252AD"/>
    <w:multiLevelType w:val="hybridMultilevel"/>
    <w:tmpl w:val="E3548A2E"/>
    <w:lvl w:ilvl="0" w:tplc="0C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BBF67DA"/>
    <w:multiLevelType w:val="hybridMultilevel"/>
    <w:tmpl w:val="AC606974"/>
    <w:lvl w:ilvl="0" w:tplc="D74C0B4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2F17A13"/>
    <w:multiLevelType w:val="hybridMultilevel"/>
    <w:tmpl w:val="1B58742C"/>
    <w:lvl w:ilvl="0" w:tplc="423EC328">
      <w:start w:val="1"/>
      <w:numFmt w:val="decimal"/>
      <w:lvlText w:val="%1"/>
      <w:lvlJc w:val="left"/>
      <w:pPr>
        <w:ind w:left="720" w:hanging="360"/>
      </w:pPr>
      <w:rPr>
        <w:rFonts w:ascii="Arial" w:eastAsia="Times New Roman" w:hAnsi="Arial" w:cs="Aria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5C75B87"/>
    <w:multiLevelType w:val="hybridMultilevel"/>
    <w:tmpl w:val="22D49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8763B94"/>
    <w:multiLevelType w:val="hybridMultilevel"/>
    <w:tmpl w:val="972031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8AD0AB6"/>
    <w:multiLevelType w:val="hybridMultilevel"/>
    <w:tmpl w:val="57C0B41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3BD75CA"/>
    <w:multiLevelType w:val="hybridMultilevel"/>
    <w:tmpl w:val="52F263E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84C4B89"/>
    <w:multiLevelType w:val="hybridMultilevel"/>
    <w:tmpl w:val="292CE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031F68"/>
    <w:multiLevelType w:val="hybridMultilevel"/>
    <w:tmpl w:val="3A16C7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7E392F92"/>
    <w:multiLevelType w:val="hybridMultilevel"/>
    <w:tmpl w:val="C9FC58F2"/>
    <w:lvl w:ilvl="0" w:tplc="89F613CC">
      <w:start w:val="1"/>
      <w:numFmt w:val="lowerLetter"/>
      <w:lvlText w:val="%1)"/>
      <w:lvlJc w:val="left"/>
      <w:pPr>
        <w:tabs>
          <w:tab w:val="num" w:pos="960"/>
        </w:tabs>
        <w:ind w:left="960" w:hanging="360"/>
      </w:pPr>
      <w:rPr>
        <w:rFonts w:hint="default"/>
      </w:rPr>
    </w:lvl>
    <w:lvl w:ilvl="1" w:tplc="040A0019" w:tentative="1">
      <w:start w:val="1"/>
      <w:numFmt w:val="lowerLetter"/>
      <w:lvlText w:val="%2."/>
      <w:lvlJc w:val="left"/>
      <w:pPr>
        <w:tabs>
          <w:tab w:val="num" w:pos="1680"/>
        </w:tabs>
        <w:ind w:left="1680" w:hanging="360"/>
      </w:pPr>
    </w:lvl>
    <w:lvl w:ilvl="2" w:tplc="040A001B" w:tentative="1">
      <w:start w:val="1"/>
      <w:numFmt w:val="lowerRoman"/>
      <w:lvlText w:val="%3."/>
      <w:lvlJc w:val="right"/>
      <w:pPr>
        <w:tabs>
          <w:tab w:val="num" w:pos="2400"/>
        </w:tabs>
        <w:ind w:left="2400" w:hanging="180"/>
      </w:pPr>
    </w:lvl>
    <w:lvl w:ilvl="3" w:tplc="040A000F" w:tentative="1">
      <w:start w:val="1"/>
      <w:numFmt w:val="decimal"/>
      <w:lvlText w:val="%4."/>
      <w:lvlJc w:val="left"/>
      <w:pPr>
        <w:tabs>
          <w:tab w:val="num" w:pos="3120"/>
        </w:tabs>
        <w:ind w:left="3120" w:hanging="360"/>
      </w:pPr>
    </w:lvl>
    <w:lvl w:ilvl="4" w:tplc="040A0019" w:tentative="1">
      <w:start w:val="1"/>
      <w:numFmt w:val="lowerLetter"/>
      <w:lvlText w:val="%5."/>
      <w:lvlJc w:val="left"/>
      <w:pPr>
        <w:tabs>
          <w:tab w:val="num" w:pos="3840"/>
        </w:tabs>
        <w:ind w:left="3840" w:hanging="360"/>
      </w:pPr>
    </w:lvl>
    <w:lvl w:ilvl="5" w:tplc="040A001B" w:tentative="1">
      <w:start w:val="1"/>
      <w:numFmt w:val="lowerRoman"/>
      <w:lvlText w:val="%6."/>
      <w:lvlJc w:val="right"/>
      <w:pPr>
        <w:tabs>
          <w:tab w:val="num" w:pos="4560"/>
        </w:tabs>
        <w:ind w:left="4560" w:hanging="180"/>
      </w:pPr>
    </w:lvl>
    <w:lvl w:ilvl="6" w:tplc="040A000F" w:tentative="1">
      <w:start w:val="1"/>
      <w:numFmt w:val="decimal"/>
      <w:lvlText w:val="%7."/>
      <w:lvlJc w:val="left"/>
      <w:pPr>
        <w:tabs>
          <w:tab w:val="num" w:pos="5280"/>
        </w:tabs>
        <w:ind w:left="5280" w:hanging="360"/>
      </w:pPr>
    </w:lvl>
    <w:lvl w:ilvl="7" w:tplc="040A0019" w:tentative="1">
      <w:start w:val="1"/>
      <w:numFmt w:val="lowerLetter"/>
      <w:lvlText w:val="%8."/>
      <w:lvlJc w:val="left"/>
      <w:pPr>
        <w:tabs>
          <w:tab w:val="num" w:pos="6000"/>
        </w:tabs>
        <w:ind w:left="6000" w:hanging="360"/>
      </w:pPr>
    </w:lvl>
    <w:lvl w:ilvl="8" w:tplc="040A001B" w:tentative="1">
      <w:start w:val="1"/>
      <w:numFmt w:val="lowerRoman"/>
      <w:lvlText w:val="%9."/>
      <w:lvlJc w:val="right"/>
      <w:pPr>
        <w:tabs>
          <w:tab w:val="num" w:pos="6720"/>
        </w:tabs>
        <w:ind w:left="6720" w:hanging="180"/>
      </w:pPr>
    </w:lvl>
  </w:abstractNum>
  <w:num w:numId="1">
    <w:abstractNumId w:val="20"/>
  </w:num>
  <w:num w:numId="2">
    <w:abstractNumId w:val="16"/>
  </w:num>
  <w:num w:numId="3">
    <w:abstractNumId w:val="0"/>
  </w:num>
  <w:num w:numId="4">
    <w:abstractNumId w:val="2"/>
  </w:num>
  <w:num w:numId="5">
    <w:abstractNumId w:val="19"/>
  </w:num>
  <w:num w:numId="6">
    <w:abstractNumId w:val="13"/>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
  </w:num>
  <w:num w:numId="13">
    <w:abstractNumId w:val="7"/>
  </w:num>
  <w:num w:numId="14">
    <w:abstractNumId w:val="10"/>
  </w:num>
  <w:num w:numId="15">
    <w:abstractNumId w:val="8"/>
  </w:num>
  <w:num w:numId="16">
    <w:abstractNumId w:val="22"/>
  </w:num>
  <w:num w:numId="17">
    <w:abstractNumId w:val="15"/>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1"/>
  </w:num>
  <w:num w:numId="28">
    <w:abstractNumId w:val="4"/>
  </w:num>
  <w:num w:numId="29">
    <w:abstractNumId w:val="3"/>
  </w:num>
  <w:num w:numId="30">
    <w:abstractNumId w:val="12"/>
  </w:num>
  <w:num w:numId="31">
    <w:abstractNumId w:val="6"/>
  </w:num>
  <w:num w:numId="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40"/>
    <w:rsid w:val="00001EB0"/>
    <w:rsid w:val="000022FD"/>
    <w:rsid w:val="0000652C"/>
    <w:rsid w:val="00006D90"/>
    <w:rsid w:val="00006F64"/>
    <w:rsid w:val="00007A88"/>
    <w:rsid w:val="000104A3"/>
    <w:rsid w:val="000116C4"/>
    <w:rsid w:val="000136C8"/>
    <w:rsid w:val="0001381B"/>
    <w:rsid w:val="00017080"/>
    <w:rsid w:val="000236BC"/>
    <w:rsid w:val="00024884"/>
    <w:rsid w:val="00027A66"/>
    <w:rsid w:val="00031BA7"/>
    <w:rsid w:val="000334FF"/>
    <w:rsid w:val="00035F84"/>
    <w:rsid w:val="0003629C"/>
    <w:rsid w:val="00040077"/>
    <w:rsid w:val="00040226"/>
    <w:rsid w:val="000404E5"/>
    <w:rsid w:val="00044EBB"/>
    <w:rsid w:val="0004514B"/>
    <w:rsid w:val="0004568E"/>
    <w:rsid w:val="0004638D"/>
    <w:rsid w:val="00051CDD"/>
    <w:rsid w:val="00054F03"/>
    <w:rsid w:val="00055154"/>
    <w:rsid w:val="00057AD1"/>
    <w:rsid w:val="000606BA"/>
    <w:rsid w:val="00061274"/>
    <w:rsid w:val="000640F0"/>
    <w:rsid w:val="00064953"/>
    <w:rsid w:val="00064DB0"/>
    <w:rsid w:val="00066107"/>
    <w:rsid w:val="0007222D"/>
    <w:rsid w:val="00072D12"/>
    <w:rsid w:val="00075112"/>
    <w:rsid w:val="00075540"/>
    <w:rsid w:val="00075A2E"/>
    <w:rsid w:val="00076558"/>
    <w:rsid w:val="00076AD8"/>
    <w:rsid w:val="00077F3D"/>
    <w:rsid w:val="0008081E"/>
    <w:rsid w:val="00080FDB"/>
    <w:rsid w:val="00083107"/>
    <w:rsid w:val="0008329C"/>
    <w:rsid w:val="00084E4B"/>
    <w:rsid w:val="00085D1A"/>
    <w:rsid w:val="000905C1"/>
    <w:rsid w:val="0009334D"/>
    <w:rsid w:val="0009480F"/>
    <w:rsid w:val="00095E1D"/>
    <w:rsid w:val="00097E64"/>
    <w:rsid w:val="000A55FE"/>
    <w:rsid w:val="000A5709"/>
    <w:rsid w:val="000A5D8A"/>
    <w:rsid w:val="000A76E9"/>
    <w:rsid w:val="000A78B0"/>
    <w:rsid w:val="000B07CC"/>
    <w:rsid w:val="000B1EDC"/>
    <w:rsid w:val="000B3D94"/>
    <w:rsid w:val="000B400C"/>
    <w:rsid w:val="000B53FB"/>
    <w:rsid w:val="000B6CB8"/>
    <w:rsid w:val="000C2BE3"/>
    <w:rsid w:val="000C375C"/>
    <w:rsid w:val="000C39E6"/>
    <w:rsid w:val="000C3FDD"/>
    <w:rsid w:val="000D159C"/>
    <w:rsid w:val="000D1D40"/>
    <w:rsid w:val="000D24E5"/>
    <w:rsid w:val="000D3CAF"/>
    <w:rsid w:val="000D76FD"/>
    <w:rsid w:val="000E0056"/>
    <w:rsid w:val="000E02CF"/>
    <w:rsid w:val="000E15BD"/>
    <w:rsid w:val="000E258A"/>
    <w:rsid w:val="000E4282"/>
    <w:rsid w:val="000E459C"/>
    <w:rsid w:val="000E78A6"/>
    <w:rsid w:val="000F10FC"/>
    <w:rsid w:val="000F1D77"/>
    <w:rsid w:val="000F229C"/>
    <w:rsid w:val="000F25FD"/>
    <w:rsid w:val="000F3866"/>
    <w:rsid w:val="00101157"/>
    <w:rsid w:val="00105B0D"/>
    <w:rsid w:val="0010686E"/>
    <w:rsid w:val="00106BE2"/>
    <w:rsid w:val="001070EE"/>
    <w:rsid w:val="00110793"/>
    <w:rsid w:val="00112B39"/>
    <w:rsid w:val="00113F5F"/>
    <w:rsid w:val="00115797"/>
    <w:rsid w:val="00115DD7"/>
    <w:rsid w:val="00117EC9"/>
    <w:rsid w:val="00120B7C"/>
    <w:rsid w:val="001248BE"/>
    <w:rsid w:val="00125A18"/>
    <w:rsid w:val="00125C74"/>
    <w:rsid w:val="00131894"/>
    <w:rsid w:val="00132CA4"/>
    <w:rsid w:val="00133586"/>
    <w:rsid w:val="00133A19"/>
    <w:rsid w:val="00134F4A"/>
    <w:rsid w:val="0013582B"/>
    <w:rsid w:val="001358A0"/>
    <w:rsid w:val="001376B0"/>
    <w:rsid w:val="0013789B"/>
    <w:rsid w:val="001422DE"/>
    <w:rsid w:val="00142D09"/>
    <w:rsid w:val="001437F7"/>
    <w:rsid w:val="00145EA1"/>
    <w:rsid w:val="00146052"/>
    <w:rsid w:val="001469DE"/>
    <w:rsid w:val="00151F48"/>
    <w:rsid w:val="00156275"/>
    <w:rsid w:val="00160E20"/>
    <w:rsid w:val="00161F37"/>
    <w:rsid w:val="0016214B"/>
    <w:rsid w:val="001626E9"/>
    <w:rsid w:val="00162B98"/>
    <w:rsid w:val="001650D1"/>
    <w:rsid w:val="00166A58"/>
    <w:rsid w:val="00171A45"/>
    <w:rsid w:val="0017204D"/>
    <w:rsid w:val="0017263A"/>
    <w:rsid w:val="00174E34"/>
    <w:rsid w:val="00180E1B"/>
    <w:rsid w:val="0018187D"/>
    <w:rsid w:val="00182264"/>
    <w:rsid w:val="00183AC4"/>
    <w:rsid w:val="00183F17"/>
    <w:rsid w:val="00184A24"/>
    <w:rsid w:val="00187470"/>
    <w:rsid w:val="00193413"/>
    <w:rsid w:val="0019375C"/>
    <w:rsid w:val="001942D6"/>
    <w:rsid w:val="00195D53"/>
    <w:rsid w:val="00197182"/>
    <w:rsid w:val="001A1391"/>
    <w:rsid w:val="001A2C61"/>
    <w:rsid w:val="001A3391"/>
    <w:rsid w:val="001B1D6F"/>
    <w:rsid w:val="001B3CF3"/>
    <w:rsid w:val="001B6BFB"/>
    <w:rsid w:val="001C18CF"/>
    <w:rsid w:val="001C6FC8"/>
    <w:rsid w:val="001D0428"/>
    <w:rsid w:val="001D50EF"/>
    <w:rsid w:val="001D57F9"/>
    <w:rsid w:val="001D5A73"/>
    <w:rsid w:val="001D62C0"/>
    <w:rsid w:val="001D6D28"/>
    <w:rsid w:val="001D7DE8"/>
    <w:rsid w:val="001E098C"/>
    <w:rsid w:val="001E461F"/>
    <w:rsid w:val="001E47B8"/>
    <w:rsid w:val="001E4B19"/>
    <w:rsid w:val="001E789B"/>
    <w:rsid w:val="001E7DF5"/>
    <w:rsid w:val="001F0904"/>
    <w:rsid w:val="001F0EBB"/>
    <w:rsid w:val="001F1B95"/>
    <w:rsid w:val="001F3078"/>
    <w:rsid w:val="001F3300"/>
    <w:rsid w:val="001F5477"/>
    <w:rsid w:val="001F5CB3"/>
    <w:rsid w:val="001F5D95"/>
    <w:rsid w:val="00201930"/>
    <w:rsid w:val="00202090"/>
    <w:rsid w:val="00202AC3"/>
    <w:rsid w:val="00203E83"/>
    <w:rsid w:val="00205FF5"/>
    <w:rsid w:val="00206817"/>
    <w:rsid w:val="00207622"/>
    <w:rsid w:val="00210AE6"/>
    <w:rsid w:val="00210C83"/>
    <w:rsid w:val="002121A7"/>
    <w:rsid w:val="00213E69"/>
    <w:rsid w:val="002141EA"/>
    <w:rsid w:val="00215512"/>
    <w:rsid w:val="0021620B"/>
    <w:rsid w:val="00221867"/>
    <w:rsid w:val="00224E96"/>
    <w:rsid w:val="00225388"/>
    <w:rsid w:val="0022605F"/>
    <w:rsid w:val="0022673D"/>
    <w:rsid w:val="00231BFF"/>
    <w:rsid w:val="002357CB"/>
    <w:rsid w:val="002369F0"/>
    <w:rsid w:val="0024051D"/>
    <w:rsid w:val="00241129"/>
    <w:rsid w:val="00241C70"/>
    <w:rsid w:val="00242891"/>
    <w:rsid w:val="00242BBB"/>
    <w:rsid w:val="00242BF0"/>
    <w:rsid w:val="00245228"/>
    <w:rsid w:val="0024660E"/>
    <w:rsid w:val="002509B3"/>
    <w:rsid w:val="00251ED5"/>
    <w:rsid w:val="00252828"/>
    <w:rsid w:val="00253D9E"/>
    <w:rsid w:val="00253F30"/>
    <w:rsid w:val="002546F9"/>
    <w:rsid w:val="00255E41"/>
    <w:rsid w:val="00256885"/>
    <w:rsid w:val="00257D00"/>
    <w:rsid w:val="00257F06"/>
    <w:rsid w:val="0026051A"/>
    <w:rsid w:val="00261752"/>
    <w:rsid w:val="002708EC"/>
    <w:rsid w:val="002718E2"/>
    <w:rsid w:val="002718F6"/>
    <w:rsid w:val="0027198B"/>
    <w:rsid w:val="00275EB7"/>
    <w:rsid w:val="00276588"/>
    <w:rsid w:val="00280DA1"/>
    <w:rsid w:val="00281699"/>
    <w:rsid w:val="00282EA0"/>
    <w:rsid w:val="00284030"/>
    <w:rsid w:val="002846E6"/>
    <w:rsid w:val="002855D3"/>
    <w:rsid w:val="00285977"/>
    <w:rsid w:val="002870C5"/>
    <w:rsid w:val="00292947"/>
    <w:rsid w:val="00293EFC"/>
    <w:rsid w:val="002A1347"/>
    <w:rsid w:val="002A213D"/>
    <w:rsid w:val="002A2B82"/>
    <w:rsid w:val="002A33AD"/>
    <w:rsid w:val="002A59C5"/>
    <w:rsid w:val="002A5F17"/>
    <w:rsid w:val="002A6657"/>
    <w:rsid w:val="002B055A"/>
    <w:rsid w:val="002B1861"/>
    <w:rsid w:val="002B24C9"/>
    <w:rsid w:val="002B2542"/>
    <w:rsid w:val="002B6DDB"/>
    <w:rsid w:val="002C08A2"/>
    <w:rsid w:val="002C0FEC"/>
    <w:rsid w:val="002C1B5C"/>
    <w:rsid w:val="002C1E0D"/>
    <w:rsid w:val="002C1F46"/>
    <w:rsid w:val="002C3A5B"/>
    <w:rsid w:val="002D1114"/>
    <w:rsid w:val="002D4186"/>
    <w:rsid w:val="002D54BF"/>
    <w:rsid w:val="002E2533"/>
    <w:rsid w:val="002E3229"/>
    <w:rsid w:val="002E3951"/>
    <w:rsid w:val="002E3982"/>
    <w:rsid w:val="002E5B2D"/>
    <w:rsid w:val="002E5E5F"/>
    <w:rsid w:val="002E7114"/>
    <w:rsid w:val="002F07D3"/>
    <w:rsid w:val="002F0E8F"/>
    <w:rsid w:val="002F6679"/>
    <w:rsid w:val="00300C8C"/>
    <w:rsid w:val="0030586B"/>
    <w:rsid w:val="003129C6"/>
    <w:rsid w:val="00312BA2"/>
    <w:rsid w:val="00315B51"/>
    <w:rsid w:val="003166F8"/>
    <w:rsid w:val="00317417"/>
    <w:rsid w:val="00322394"/>
    <w:rsid w:val="00322EEB"/>
    <w:rsid w:val="00322FDF"/>
    <w:rsid w:val="00323C4A"/>
    <w:rsid w:val="00327EB8"/>
    <w:rsid w:val="00330209"/>
    <w:rsid w:val="00332221"/>
    <w:rsid w:val="00332B57"/>
    <w:rsid w:val="00337264"/>
    <w:rsid w:val="00340667"/>
    <w:rsid w:val="00344947"/>
    <w:rsid w:val="0034528F"/>
    <w:rsid w:val="003455BE"/>
    <w:rsid w:val="0034596A"/>
    <w:rsid w:val="0034752C"/>
    <w:rsid w:val="0035324C"/>
    <w:rsid w:val="00356388"/>
    <w:rsid w:val="00356D7D"/>
    <w:rsid w:val="003570B6"/>
    <w:rsid w:val="0036033D"/>
    <w:rsid w:val="00361A03"/>
    <w:rsid w:val="00362F13"/>
    <w:rsid w:val="00363527"/>
    <w:rsid w:val="00364A06"/>
    <w:rsid w:val="00366E9A"/>
    <w:rsid w:val="00370A57"/>
    <w:rsid w:val="00370BAE"/>
    <w:rsid w:val="00370D34"/>
    <w:rsid w:val="003766D9"/>
    <w:rsid w:val="00376A27"/>
    <w:rsid w:val="003778F8"/>
    <w:rsid w:val="00377C15"/>
    <w:rsid w:val="003811CC"/>
    <w:rsid w:val="00383DA2"/>
    <w:rsid w:val="00384757"/>
    <w:rsid w:val="00385324"/>
    <w:rsid w:val="0038566C"/>
    <w:rsid w:val="00385875"/>
    <w:rsid w:val="00387F7A"/>
    <w:rsid w:val="00387F98"/>
    <w:rsid w:val="00390C81"/>
    <w:rsid w:val="003923DD"/>
    <w:rsid w:val="00394B6D"/>
    <w:rsid w:val="003952E3"/>
    <w:rsid w:val="0039588D"/>
    <w:rsid w:val="003960A5"/>
    <w:rsid w:val="0039626E"/>
    <w:rsid w:val="00397AEA"/>
    <w:rsid w:val="003A0BBC"/>
    <w:rsid w:val="003A1AC6"/>
    <w:rsid w:val="003A28F4"/>
    <w:rsid w:val="003A6738"/>
    <w:rsid w:val="003A6F60"/>
    <w:rsid w:val="003B21EB"/>
    <w:rsid w:val="003B2FDD"/>
    <w:rsid w:val="003B5601"/>
    <w:rsid w:val="003B576D"/>
    <w:rsid w:val="003B6B1E"/>
    <w:rsid w:val="003B6E71"/>
    <w:rsid w:val="003C5E9C"/>
    <w:rsid w:val="003D0871"/>
    <w:rsid w:val="003D2F09"/>
    <w:rsid w:val="003D66D3"/>
    <w:rsid w:val="003D7059"/>
    <w:rsid w:val="003D7DEA"/>
    <w:rsid w:val="003E1A11"/>
    <w:rsid w:val="003F0D17"/>
    <w:rsid w:val="003F5A76"/>
    <w:rsid w:val="003F6036"/>
    <w:rsid w:val="003F60B0"/>
    <w:rsid w:val="003F690C"/>
    <w:rsid w:val="003F6FCA"/>
    <w:rsid w:val="00403CE6"/>
    <w:rsid w:val="00403D11"/>
    <w:rsid w:val="0040605E"/>
    <w:rsid w:val="00406789"/>
    <w:rsid w:val="004116D1"/>
    <w:rsid w:val="00411BD2"/>
    <w:rsid w:val="00412F3E"/>
    <w:rsid w:val="00412F6D"/>
    <w:rsid w:val="00413236"/>
    <w:rsid w:val="00413BF4"/>
    <w:rsid w:val="004140EC"/>
    <w:rsid w:val="004156BD"/>
    <w:rsid w:val="00415BB9"/>
    <w:rsid w:val="00417245"/>
    <w:rsid w:val="0042009D"/>
    <w:rsid w:val="00420D4E"/>
    <w:rsid w:val="0042111B"/>
    <w:rsid w:val="00421A08"/>
    <w:rsid w:val="0042451B"/>
    <w:rsid w:val="00425428"/>
    <w:rsid w:val="004260A7"/>
    <w:rsid w:val="00426608"/>
    <w:rsid w:val="00426BA3"/>
    <w:rsid w:val="00426FFC"/>
    <w:rsid w:val="00427986"/>
    <w:rsid w:val="004300F6"/>
    <w:rsid w:val="00430A01"/>
    <w:rsid w:val="00432E4B"/>
    <w:rsid w:val="00433146"/>
    <w:rsid w:val="00433905"/>
    <w:rsid w:val="0043609B"/>
    <w:rsid w:val="00436FF5"/>
    <w:rsid w:val="004409BC"/>
    <w:rsid w:val="00440B06"/>
    <w:rsid w:val="00440CF6"/>
    <w:rsid w:val="004412A3"/>
    <w:rsid w:val="004422DD"/>
    <w:rsid w:val="004451A7"/>
    <w:rsid w:val="0044559F"/>
    <w:rsid w:val="004466AE"/>
    <w:rsid w:val="00446808"/>
    <w:rsid w:val="00446CFF"/>
    <w:rsid w:val="004470D0"/>
    <w:rsid w:val="00451E8C"/>
    <w:rsid w:val="00453CDA"/>
    <w:rsid w:val="00456C1B"/>
    <w:rsid w:val="00457D77"/>
    <w:rsid w:val="004602F7"/>
    <w:rsid w:val="00460CD0"/>
    <w:rsid w:val="00460DAD"/>
    <w:rsid w:val="004611FC"/>
    <w:rsid w:val="00461DC8"/>
    <w:rsid w:val="004620C3"/>
    <w:rsid w:val="0046555B"/>
    <w:rsid w:val="00465B01"/>
    <w:rsid w:val="00465C6C"/>
    <w:rsid w:val="00465F72"/>
    <w:rsid w:val="0046629F"/>
    <w:rsid w:val="004664FE"/>
    <w:rsid w:val="00466936"/>
    <w:rsid w:val="00472371"/>
    <w:rsid w:val="00477788"/>
    <w:rsid w:val="00477E1F"/>
    <w:rsid w:val="00481152"/>
    <w:rsid w:val="00481D6D"/>
    <w:rsid w:val="004842AE"/>
    <w:rsid w:val="00485565"/>
    <w:rsid w:val="00485F8F"/>
    <w:rsid w:val="00486191"/>
    <w:rsid w:val="004866A3"/>
    <w:rsid w:val="0048798D"/>
    <w:rsid w:val="00487B49"/>
    <w:rsid w:val="004947FD"/>
    <w:rsid w:val="00494871"/>
    <w:rsid w:val="00494CE0"/>
    <w:rsid w:val="004975E7"/>
    <w:rsid w:val="004A3528"/>
    <w:rsid w:val="004A3CFB"/>
    <w:rsid w:val="004A6211"/>
    <w:rsid w:val="004B166E"/>
    <w:rsid w:val="004B3A9E"/>
    <w:rsid w:val="004B732A"/>
    <w:rsid w:val="004B79AF"/>
    <w:rsid w:val="004C0D61"/>
    <w:rsid w:val="004C179F"/>
    <w:rsid w:val="004C7C28"/>
    <w:rsid w:val="004D06B1"/>
    <w:rsid w:val="004D1A7D"/>
    <w:rsid w:val="004D2A8D"/>
    <w:rsid w:val="004D3095"/>
    <w:rsid w:val="004D5935"/>
    <w:rsid w:val="004D59BF"/>
    <w:rsid w:val="004D6325"/>
    <w:rsid w:val="004D68B9"/>
    <w:rsid w:val="004E0F68"/>
    <w:rsid w:val="004E1904"/>
    <w:rsid w:val="004E2B37"/>
    <w:rsid w:val="004E41A3"/>
    <w:rsid w:val="004E4BEF"/>
    <w:rsid w:val="004E4F0F"/>
    <w:rsid w:val="004E5491"/>
    <w:rsid w:val="004E565B"/>
    <w:rsid w:val="004E63CF"/>
    <w:rsid w:val="004E6A02"/>
    <w:rsid w:val="004F083D"/>
    <w:rsid w:val="004F7C30"/>
    <w:rsid w:val="00500936"/>
    <w:rsid w:val="0050143E"/>
    <w:rsid w:val="00502485"/>
    <w:rsid w:val="00502CFE"/>
    <w:rsid w:val="00507572"/>
    <w:rsid w:val="00507AAF"/>
    <w:rsid w:val="005105D6"/>
    <w:rsid w:val="005116CD"/>
    <w:rsid w:val="00512DF0"/>
    <w:rsid w:val="005133EB"/>
    <w:rsid w:val="005149FD"/>
    <w:rsid w:val="005176CB"/>
    <w:rsid w:val="00520005"/>
    <w:rsid w:val="00520FC1"/>
    <w:rsid w:val="00521426"/>
    <w:rsid w:val="005215BB"/>
    <w:rsid w:val="0052299B"/>
    <w:rsid w:val="00522CE2"/>
    <w:rsid w:val="00526789"/>
    <w:rsid w:val="0053646B"/>
    <w:rsid w:val="005376DF"/>
    <w:rsid w:val="005436A5"/>
    <w:rsid w:val="005528FD"/>
    <w:rsid w:val="005541B3"/>
    <w:rsid w:val="00554B2A"/>
    <w:rsid w:val="00555515"/>
    <w:rsid w:val="00560639"/>
    <w:rsid w:val="005617FD"/>
    <w:rsid w:val="00563DDF"/>
    <w:rsid w:val="005665AE"/>
    <w:rsid w:val="005669A7"/>
    <w:rsid w:val="00571BB3"/>
    <w:rsid w:val="00572171"/>
    <w:rsid w:val="0057290A"/>
    <w:rsid w:val="00573073"/>
    <w:rsid w:val="00580437"/>
    <w:rsid w:val="00581BC7"/>
    <w:rsid w:val="00584E92"/>
    <w:rsid w:val="0059006A"/>
    <w:rsid w:val="005930B3"/>
    <w:rsid w:val="005932B8"/>
    <w:rsid w:val="00593770"/>
    <w:rsid w:val="005952D8"/>
    <w:rsid w:val="0059747B"/>
    <w:rsid w:val="005A1792"/>
    <w:rsid w:val="005A1AF1"/>
    <w:rsid w:val="005A1E18"/>
    <w:rsid w:val="005A203D"/>
    <w:rsid w:val="005A3A62"/>
    <w:rsid w:val="005A48B4"/>
    <w:rsid w:val="005A4907"/>
    <w:rsid w:val="005A5004"/>
    <w:rsid w:val="005A51C7"/>
    <w:rsid w:val="005A5389"/>
    <w:rsid w:val="005A5D25"/>
    <w:rsid w:val="005B03B6"/>
    <w:rsid w:val="005B13BE"/>
    <w:rsid w:val="005B1537"/>
    <w:rsid w:val="005B6083"/>
    <w:rsid w:val="005C1005"/>
    <w:rsid w:val="005C3FFB"/>
    <w:rsid w:val="005C49D2"/>
    <w:rsid w:val="005C5D34"/>
    <w:rsid w:val="005C69B5"/>
    <w:rsid w:val="005C79B9"/>
    <w:rsid w:val="005C7B58"/>
    <w:rsid w:val="005D22F4"/>
    <w:rsid w:val="005D379B"/>
    <w:rsid w:val="005D5D6C"/>
    <w:rsid w:val="005D7C2A"/>
    <w:rsid w:val="005E01D0"/>
    <w:rsid w:val="005E269B"/>
    <w:rsid w:val="005E2D3E"/>
    <w:rsid w:val="005E3276"/>
    <w:rsid w:val="005E73EF"/>
    <w:rsid w:val="005F2B22"/>
    <w:rsid w:val="005F4C4B"/>
    <w:rsid w:val="005F5B1E"/>
    <w:rsid w:val="006044A0"/>
    <w:rsid w:val="00604694"/>
    <w:rsid w:val="00604B10"/>
    <w:rsid w:val="00611B1E"/>
    <w:rsid w:val="00620F3A"/>
    <w:rsid w:val="006227EA"/>
    <w:rsid w:val="00622B7A"/>
    <w:rsid w:val="00624943"/>
    <w:rsid w:val="00624E08"/>
    <w:rsid w:val="00625C43"/>
    <w:rsid w:val="006319B0"/>
    <w:rsid w:val="00634E26"/>
    <w:rsid w:val="00635807"/>
    <w:rsid w:val="006367B5"/>
    <w:rsid w:val="0063725F"/>
    <w:rsid w:val="00641506"/>
    <w:rsid w:val="00647053"/>
    <w:rsid w:val="0064706D"/>
    <w:rsid w:val="00650DED"/>
    <w:rsid w:val="00651146"/>
    <w:rsid w:val="00652679"/>
    <w:rsid w:val="0065623F"/>
    <w:rsid w:val="006575F4"/>
    <w:rsid w:val="00660751"/>
    <w:rsid w:val="0066131F"/>
    <w:rsid w:val="00663F0C"/>
    <w:rsid w:val="0066513F"/>
    <w:rsid w:val="0066720D"/>
    <w:rsid w:val="006674BF"/>
    <w:rsid w:val="0067022B"/>
    <w:rsid w:val="006711A2"/>
    <w:rsid w:val="00671D45"/>
    <w:rsid w:val="00672084"/>
    <w:rsid w:val="00674B3A"/>
    <w:rsid w:val="00676780"/>
    <w:rsid w:val="00676B9D"/>
    <w:rsid w:val="00677757"/>
    <w:rsid w:val="006804C7"/>
    <w:rsid w:val="00680982"/>
    <w:rsid w:val="00682A1D"/>
    <w:rsid w:val="0068342E"/>
    <w:rsid w:val="00684C51"/>
    <w:rsid w:val="00684CE9"/>
    <w:rsid w:val="00686001"/>
    <w:rsid w:val="00690AE2"/>
    <w:rsid w:val="00691F7A"/>
    <w:rsid w:val="00692B20"/>
    <w:rsid w:val="00692BA0"/>
    <w:rsid w:val="00693DDD"/>
    <w:rsid w:val="00697F15"/>
    <w:rsid w:val="006A10EE"/>
    <w:rsid w:val="006A3AFF"/>
    <w:rsid w:val="006A3FFD"/>
    <w:rsid w:val="006A658B"/>
    <w:rsid w:val="006A7D1E"/>
    <w:rsid w:val="006B245F"/>
    <w:rsid w:val="006B34DB"/>
    <w:rsid w:val="006B6B79"/>
    <w:rsid w:val="006C354B"/>
    <w:rsid w:val="006C67A7"/>
    <w:rsid w:val="006C6AD6"/>
    <w:rsid w:val="006C7B38"/>
    <w:rsid w:val="006D0589"/>
    <w:rsid w:val="006D1BD4"/>
    <w:rsid w:val="006D3311"/>
    <w:rsid w:val="006D340A"/>
    <w:rsid w:val="006D4908"/>
    <w:rsid w:val="006D5189"/>
    <w:rsid w:val="006D6403"/>
    <w:rsid w:val="006E0532"/>
    <w:rsid w:val="006E1ACB"/>
    <w:rsid w:val="006E396A"/>
    <w:rsid w:val="006E3A13"/>
    <w:rsid w:val="006F29D1"/>
    <w:rsid w:val="006F2AB9"/>
    <w:rsid w:val="006F330B"/>
    <w:rsid w:val="006F44D4"/>
    <w:rsid w:val="006F4B88"/>
    <w:rsid w:val="006F675B"/>
    <w:rsid w:val="00700CB2"/>
    <w:rsid w:val="00702634"/>
    <w:rsid w:val="00704C14"/>
    <w:rsid w:val="0070538C"/>
    <w:rsid w:val="00706128"/>
    <w:rsid w:val="007072ED"/>
    <w:rsid w:val="00710019"/>
    <w:rsid w:val="007105BF"/>
    <w:rsid w:val="00711740"/>
    <w:rsid w:val="00713939"/>
    <w:rsid w:val="00713ABA"/>
    <w:rsid w:val="00714E4B"/>
    <w:rsid w:val="0071547A"/>
    <w:rsid w:val="007179E9"/>
    <w:rsid w:val="0072026C"/>
    <w:rsid w:val="0072096C"/>
    <w:rsid w:val="00721820"/>
    <w:rsid w:val="00723B8D"/>
    <w:rsid w:val="00726D25"/>
    <w:rsid w:val="00727CA1"/>
    <w:rsid w:val="00730BEE"/>
    <w:rsid w:val="0073194B"/>
    <w:rsid w:val="00732988"/>
    <w:rsid w:val="00732FE6"/>
    <w:rsid w:val="0073443F"/>
    <w:rsid w:val="0073542E"/>
    <w:rsid w:val="00740480"/>
    <w:rsid w:val="00740D37"/>
    <w:rsid w:val="007416E0"/>
    <w:rsid w:val="00742081"/>
    <w:rsid w:val="0074277B"/>
    <w:rsid w:val="00743394"/>
    <w:rsid w:val="0074766B"/>
    <w:rsid w:val="00747D1C"/>
    <w:rsid w:val="00751F45"/>
    <w:rsid w:val="00754DDF"/>
    <w:rsid w:val="00760141"/>
    <w:rsid w:val="0076089F"/>
    <w:rsid w:val="007614E3"/>
    <w:rsid w:val="007630CE"/>
    <w:rsid w:val="007664ED"/>
    <w:rsid w:val="00770BC4"/>
    <w:rsid w:val="00771FD6"/>
    <w:rsid w:val="007721E7"/>
    <w:rsid w:val="007725AB"/>
    <w:rsid w:val="007725EC"/>
    <w:rsid w:val="00772DB9"/>
    <w:rsid w:val="0077659D"/>
    <w:rsid w:val="007778C9"/>
    <w:rsid w:val="00780161"/>
    <w:rsid w:val="00781378"/>
    <w:rsid w:val="007829E2"/>
    <w:rsid w:val="00782A26"/>
    <w:rsid w:val="0078422A"/>
    <w:rsid w:val="007844B0"/>
    <w:rsid w:val="0078495C"/>
    <w:rsid w:val="00787C49"/>
    <w:rsid w:val="00787DAB"/>
    <w:rsid w:val="007902BE"/>
    <w:rsid w:val="007916A2"/>
    <w:rsid w:val="007920EE"/>
    <w:rsid w:val="007963BF"/>
    <w:rsid w:val="00797DAC"/>
    <w:rsid w:val="007A00B8"/>
    <w:rsid w:val="007A2576"/>
    <w:rsid w:val="007A2588"/>
    <w:rsid w:val="007A311C"/>
    <w:rsid w:val="007A5B49"/>
    <w:rsid w:val="007B0642"/>
    <w:rsid w:val="007B1346"/>
    <w:rsid w:val="007B16AB"/>
    <w:rsid w:val="007B3F95"/>
    <w:rsid w:val="007B5F55"/>
    <w:rsid w:val="007B70D8"/>
    <w:rsid w:val="007C0911"/>
    <w:rsid w:val="007C100F"/>
    <w:rsid w:val="007C4496"/>
    <w:rsid w:val="007C4647"/>
    <w:rsid w:val="007C68B9"/>
    <w:rsid w:val="007C6CFE"/>
    <w:rsid w:val="007C7E22"/>
    <w:rsid w:val="007D00F9"/>
    <w:rsid w:val="007D01AC"/>
    <w:rsid w:val="007D09DB"/>
    <w:rsid w:val="007D272F"/>
    <w:rsid w:val="007D4572"/>
    <w:rsid w:val="007D6771"/>
    <w:rsid w:val="007D6908"/>
    <w:rsid w:val="007D7186"/>
    <w:rsid w:val="007E0F59"/>
    <w:rsid w:val="007E220D"/>
    <w:rsid w:val="007E2C32"/>
    <w:rsid w:val="007E2DA2"/>
    <w:rsid w:val="007E5940"/>
    <w:rsid w:val="007E6541"/>
    <w:rsid w:val="007E67CB"/>
    <w:rsid w:val="007E6A6D"/>
    <w:rsid w:val="007E6E1B"/>
    <w:rsid w:val="007F0240"/>
    <w:rsid w:val="007F0BC4"/>
    <w:rsid w:val="007F1FCF"/>
    <w:rsid w:val="007F2C53"/>
    <w:rsid w:val="007F30F1"/>
    <w:rsid w:val="007F38CA"/>
    <w:rsid w:val="007F3979"/>
    <w:rsid w:val="007F4BEB"/>
    <w:rsid w:val="007F5086"/>
    <w:rsid w:val="007F52CF"/>
    <w:rsid w:val="007F5951"/>
    <w:rsid w:val="008039F5"/>
    <w:rsid w:val="00804169"/>
    <w:rsid w:val="008052D6"/>
    <w:rsid w:val="008065D4"/>
    <w:rsid w:val="0081159E"/>
    <w:rsid w:val="00812580"/>
    <w:rsid w:val="00815D4C"/>
    <w:rsid w:val="00816287"/>
    <w:rsid w:val="008165A4"/>
    <w:rsid w:val="00816BB9"/>
    <w:rsid w:val="00820D0B"/>
    <w:rsid w:val="00820E6F"/>
    <w:rsid w:val="00821503"/>
    <w:rsid w:val="00825240"/>
    <w:rsid w:val="008321DA"/>
    <w:rsid w:val="00832A12"/>
    <w:rsid w:val="008341D5"/>
    <w:rsid w:val="00840DC7"/>
    <w:rsid w:val="00840DCD"/>
    <w:rsid w:val="00841F3E"/>
    <w:rsid w:val="00842076"/>
    <w:rsid w:val="00842C96"/>
    <w:rsid w:val="00844E39"/>
    <w:rsid w:val="00845C2E"/>
    <w:rsid w:val="00850534"/>
    <w:rsid w:val="00850E69"/>
    <w:rsid w:val="00851128"/>
    <w:rsid w:val="008544F3"/>
    <w:rsid w:val="008600F2"/>
    <w:rsid w:val="008619C1"/>
    <w:rsid w:val="00863DCC"/>
    <w:rsid w:val="008646CD"/>
    <w:rsid w:val="00864B67"/>
    <w:rsid w:val="00866092"/>
    <w:rsid w:val="00867AC0"/>
    <w:rsid w:val="008707E8"/>
    <w:rsid w:val="00871274"/>
    <w:rsid w:val="00873417"/>
    <w:rsid w:val="00873ADB"/>
    <w:rsid w:val="00874BE7"/>
    <w:rsid w:val="00874D6F"/>
    <w:rsid w:val="0087593C"/>
    <w:rsid w:val="00876514"/>
    <w:rsid w:val="00880227"/>
    <w:rsid w:val="00887E5F"/>
    <w:rsid w:val="00891222"/>
    <w:rsid w:val="0089380B"/>
    <w:rsid w:val="00893822"/>
    <w:rsid w:val="00895CC5"/>
    <w:rsid w:val="0089647A"/>
    <w:rsid w:val="008965F1"/>
    <w:rsid w:val="008A0457"/>
    <w:rsid w:val="008A1543"/>
    <w:rsid w:val="008A157B"/>
    <w:rsid w:val="008A3E5F"/>
    <w:rsid w:val="008A6DBD"/>
    <w:rsid w:val="008A6F21"/>
    <w:rsid w:val="008A7470"/>
    <w:rsid w:val="008B0176"/>
    <w:rsid w:val="008B08EC"/>
    <w:rsid w:val="008B12D3"/>
    <w:rsid w:val="008B3AE5"/>
    <w:rsid w:val="008B53B7"/>
    <w:rsid w:val="008B5B00"/>
    <w:rsid w:val="008B5F97"/>
    <w:rsid w:val="008C07C2"/>
    <w:rsid w:val="008C0CB8"/>
    <w:rsid w:val="008C2797"/>
    <w:rsid w:val="008C2F35"/>
    <w:rsid w:val="008C4911"/>
    <w:rsid w:val="008C6CE4"/>
    <w:rsid w:val="008C6F28"/>
    <w:rsid w:val="008D027E"/>
    <w:rsid w:val="008D0BE9"/>
    <w:rsid w:val="008D12D0"/>
    <w:rsid w:val="008D25F4"/>
    <w:rsid w:val="008D26F3"/>
    <w:rsid w:val="008D4F52"/>
    <w:rsid w:val="008D5157"/>
    <w:rsid w:val="008D53FA"/>
    <w:rsid w:val="008E028C"/>
    <w:rsid w:val="008E15A0"/>
    <w:rsid w:val="008E1763"/>
    <w:rsid w:val="008E2267"/>
    <w:rsid w:val="008E26A4"/>
    <w:rsid w:val="008E578F"/>
    <w:rsid w:val="008F1BFC"/>
    <w:rsid w:val="009006E4"/>
    <w:rsid w:val="00900EA9"/>
    <w:rsid w:val="009017E1"/>
    <w:rsid w:val="00903B60"/>
    <w:rsid w:val="00904A33"/>
    <w:rsid w:val="00904B9C"/>
    <w:rsid w:val="00904BC9"/>
    <w:rsid w:val="009055AF"/>
    <w:rsid w:val="00905F9E"/>
    <w:rsid w:val="00906FCB"/>
    <w:rsid w:val="0090763A"/>
    <w:rsid w:val="00910028"/>
    <w:rsid w:val="009124FE"/>
    <w:rsid w:val="00914899"/>
    <w:rsid w:val="00915965"/>
    <w:rsid w:val="00915BBA"/>
    <w:rsid w:val="00916062"/>
    <w:rsid w:val="00916E99"/>
    <w:rsid w:val="00921F14"/>
    <w:rsid w:val="00922B67"/>
    <w:rsid w:val="00923676"/>
    <w:rsid w:val="00923A33"/>
    <w:rsid w:val="00925619"/>
    <w:rsid w:val="00925E19"/>
    <w:rsid w:val="00926C4C"/>
    <w:rsid w:val="009274D4"/>
    <w:rsid w:val="00927E06"/>
    <w:rsid w:val="009300C6"/>
    <w:rsid w:val="0093021E"/>
    <w:rsid w:val="009325E8"/>
    <w:rsid w:val="00932611"/>
    <w:rsid w:val="00934020"/>
    <w:rsid w:val="009340B8"/>
    <w:rsid w:val="0093644D"/>
    <w:rsid w:val="00940140"/>
    <w:rsid w:val="00942942"/>
    <w:rsid w:val="009431DA"/>
    <w:rsid w:val="00943763"/>
    <w:rsid w:val="00945AC2"/>
    <w:rsid w:val="009470D5"/>
    <w:rsid w:val="00947BAB"/>
    <w:rsid w:val="00947ED1"/>
    <w:rsid w:val="00950092"/>
    <w:rsid w:val="00950213"/>
    <w:rsid w:val="00950461"/>
    <w:rsid w:val="0095099D"/>
    <w:rsid w:val="00951CE7"/>
    <w:rsid w:val="009521D5"/>
    <w:rsid w:val="00952AFF"/>
    <w:rsid w:val="00953EBB"/>
    <w:rsid w:val="009554CD"/>
    <w:rsid w:val="009554FB"/>
    <w:rsid w:val="0095592F"/>
    <w:rsid w:val="009578BB"/>
    <w:rsid w:val="0096038A"/>
    <w:rsid w:val="009627BF"/>
    <w:rsid w:val="009628FC"/>
    <w:rsid w:val="00962C6D"/>
    <w:rsid w:val="00965C72"/>
    <w:rsid w:val="00965EB6"/>
    <w:rsid w:val="00971390"/>
    <w:rsid w:val="009719CD"/>
    <w:rsid w:val="00972442"/>
    <w:rsid w:val="009758BB"/>
    <w:rsid w:val="009812D8"/>
    <w:rsid w:val="00981B1B"/>
    <w:rsid w:val="009833BA"/>
    <w:rsid w:val="0098485E"/>
    <w:rsid w:val="00987E89"/>
    <w:rsid w:val="009912CA"/>
    <w:rsid w:val="00991885"/>
    <w:rsid w:val="00994E1A"/>
    <w:rsid w:val="00997791"/>
    <w:rsid w:val="009A000D"/>
    <w:rsid w:val="009A11ED"/>
    <w:rsid w:val="009A2036"/>
    <w:rsid w:val="009A4D7A"/>
    <w:rsid w:val="009A6373"/>
    <w:rsid w:val="009A78FA"/>
    <w:rsid w:val="009A7B03"/>
    <w:rsid w:val="009B142B"/>
    <w:rsid w:val="009B20E2"/>
    <w:rsid w:val="009B3434"/>
    <w:rsid w:val="009B37A7"/>
    <w:rsid w:val="009B454A"/>
    <w:rsid w:val="009B51F6"/>
    <w:rsid w:val="009B53E5"/>
    <w:rsid w:val="009C03E2"/>
    <w:rsid w:val="009C049E"/>
    <w:rsid w:val="009C15D9"/>
    <w:rsid w:val="009C16DC"/>
    <w:rsid w:val="009C1BDE"/>
    <w:rsid w:val="009C21B6"/>
    <w:rsid w:val="009C273B"/>
    <w:rsid w:val="009C305C"/>
    <w:rsid w:val="009C4004"/>
    <w:rsid w:val="009C4CAA"/>
    <w:rsid w:val="009C74A2"/>
    <w:rsid w:val="009D118D"/>
    <w:rsid w:val="009D122B"/>
    <w:rsid w:val="009D1BC6"/>
    <w:rsid w:val="009D3881"/>
    <w:rsid w:val="009D4C1C"/>
    <w:rsid w:val="009D63E9"/>
    <w:rsid w:val="009D6615"/>
    <w:rsid w:val="009E130E"/>
    <w:rsid w:val="009E49D2"/>
    <w:rsid w:val="009E558E"/>
    <w:rsid w:val="009E58E4"/>
    <w:rsid w:val="009E71FA"/>
    <w:rsid w:val="009E7FE5"/>
    <w:rsid w:val="009F0ADD"/>
    <w:rsid w:val="009F19E5"/>
    <w:rsid w:val="009F48E2"/>
    <w:rsid w:val="009F68C4"/>
    <w:rsid w:val="00A00402"/>
    <w:rsid w:val="00A008F2"/>
    <w:rsid w:val="00A011EA"/>
    <w:rsid w:val="00A02AB2"/>
    <w:rsid w:val="00A02D7B"/>
    <w:rsid w:val="00A03DA8"/>
    <w:rsid w:val="00A04D28"/>
    <w:rsid w:val="00A0647C"/>
    <w:rsid w:val="00A066DE"/>
    <w:rsid w:val="00A0760D"/>
    <w:rsid w:val="00A12B7F"/>
    <w:rsid w:val="00A14817"/>
    <w:rsid w:val="00A14E99"/>
    <w:rsid w:val="00A15267"/>
    <w:rsid w:val="00A15629"/>
    <w:rsid w:val="00A156A4"/>
    <w:rsid w:val="00A16648"/>
    <w:rsid w:val="00A16EC8"/>
    <w:rsid w:val="00A1753B"/>
    <w:rsid w:val="00A20193"/>
    <w:rsid w:val="00A228D0"/>
    <w:rsid w:val="00A25A29"/>
    <w:rsid w:val="00A26774"/>
    <w:rsid w:val="00A26FC4"/>
    <w:rsid w:val="00A277D4"/>
    <w:rsid w:val="00A309DD"/>
    <w:rsid w:val="00A31322"/>
    <w:rsid w:val="00A32D8B"/>
    <w:rsid w:val="00A33305"/>
    <w:rsid w:val="00A36489"/>
    <w:rsid w:val="00A37F63"/>
    <w:rsid w:val="00A4088A"/>
    <w:rsid w:val="00A40A5E"/>
    <w:rsid w:val="00A4148E"/>
    <w:rsid w:val="00A43A0C"/>
    <w:rsid w:val="00A4483F"/>
    <w:rsid w:val="00A45414"/>
    <w:rsid w:val="00A457E1"/>
    <w:rsid w:val="00A4644B"/>
    <w:rsid w:val="00A5039F"/>
    <w:rsid w:val="00A51551"/>
    <w:rsid w:val="00A55C8F"/>
    <w:rsid w:val="00A56AEB"/>
    <w:rsid w:val="00A56C84"/>
    <w:rsid w:val="00A579CA"/>
    <w:rsid w:val="00A57C49"/>
    <w:rsid w:val="00A60467"/>
    <w:rsid w:val="00A618B3"/>
    <w:rsid w:val="00A61A7E"/>
    <w:rsid w:val="00A62FA5"/>
    <w:rsid w:val="00A63081"/>
    <w:rsid w:val="00A63381"/>
    <w:rsid w:val="00A6564A"/>
    <w:rsid w:val="00A67CBE"/>
    <w:rsid w:val="00A7024A"/>
    <w:rsid w:val="00A702CE"/>
    <w:rsid w:val="00A7188B"/>
    <w:rsid w:val="00A71A64"/>
    <w:rsid w:val="00A71AAC"/>
    <w:rsid w:val="00A71F37"/>
    <w:rsid w:val="00A722A7"/>
    <w:rsid w:val="00A72EFF"/>
    <w:rsid w:val="00A738A5"/>
    <w:rsid w:val="00A7572B"/>
    <w:rsid w:val="00A76201"/>
    <w:rsid w:val="00A764FD"/>
    <w:rsid w:val="00A778AF"/>
    <w:rsid w:val="00A77C90"/>
    <w:rsid w:val="00A8061E"/>
    <w:rsid w:val="00A81E63"/>
    <w:rsid w:val="00A83AEC"/>
    <w:rsid w:val="00A869DD"/>
    <w:rsid w:val="00A90669"/>
    <w:rsid w:val="00A91AEE"/>
    <w:rsid w:val="00A94504"/>
    <w:rsid w:val="00AA0114"/>
    <w:rsid w:val="00AA140F"/>
    <w:rsid w:val="00AA26CD"/>
    <w:rsid w:val="00AA44D1"/>
    <w:rsid w:val="00AB1B80"/>
    <w:rsid w:val="00AB1C07"/>
    <w:rsid w:val="00AB1CFA"/>
    <w:rsid w:val="00AB30CC"/>
    <w:rsid w:val="00AB3F4C"/>
    <w:rsid w:val="00AB6045"/>
    <w:rsid w:val="00AB7DAB"/>
    <w:rsid w:val="00AC1964"/>
    <w:rsid w:val="00AC2F18"/>
    <w:rsid w:val="00AC3845"/>
    <w:rsid w:val="00AD0520"/>
    <w:rsid w:val="00AD0980"/>
    <w:rsid w:val="00AD3782"/>
    <w:rsid w:val="00AD57D0"/>
    <w:rsid w:val="00AD71DB"/>
    <w:rsid w:val="00AE2518"/>
    <w:rsid w:val="00AE6D77"/>
    <w:rsid w:val="00AE7386"/>
    <w:rsid w:val="00AF1472"/>
    <w:rsid w:val="00AF57DE"/>
    <w:rsid w:val="00AF704A"/>
    <w:rsid w:val="00AF7A4E"/>
    <w:rsid w:val="00AF7E38"/>
    <w:rsid w:val="00B100DF"/>
    <w:rsid w:val="00B10A20"/>
    <w:rsid w:val="00B10F03"/>
    <w:rsid w:val="00B1141D"/>
    <w:rsid w:val="00B11C88"/>
    <w:rsid w:val="00B12C92"/>
    <w:rsid w:val="00B1362A"/>
    <w:rsid w:val="00B13AEF"/>
    <w:rsid w:val="00B1421A"/>
    <w:rsid w:val="00B14B7E"/>
    <w:rsid w:val="00B155D1"/>
    <w:rsid w:val="00B15B8E"/>
    <w:rsid w:val="00B17064"/>
    <w:rsid w:val="00B2036E"/>
    <w:rsid w:val="00B212E4"/>
    <w:rsid w:val="00B21BA7"/>
    <w:rsid w:val="00B21CF7"/>
    <w:rsid w:val="00B22135"/>
    <w:rsid w:val="00B22349"/>
    <w:rsid w:val="00B23492"/>
    <w:rsid w:val="00B261C9"/>
    <w:rsid w:val="00B26A7A"/>
    <w:rsid w:val="00B2753B"/>
    <w:rsid w:val="00B314F7"/>
    <w:rsid w:val="00B31899"/>
    <w:rsid w:val="00B356D4"/>
    <w:rsid w:val="00B357C4"/>
    <w:rsid w:val="00B4600D"/>
    <w:rsid w:val="00B4783D"/>
    <w:rsid w:val="00B47BB9"/>
    <w:rsid w:val="00B5070B"/>
    <w:rsid w:val="00B5113D"/>
    <w:rsid w:val="00B51364"/>
    <w:rsid w:val="00B51D01"/>
    <w:rsid w:val="00B53E3E"/>
    <w:rsid w:val="00B554B2"/>
    <w:rsid w:val="00B56DBB"/>
    <w:rsid w:val="00B56E80"/>
    <w:rsid w:val="00B609BB"/>
    <w:rsid w:val="00B60D51"/>
    <w:rsid w:val="00B63055"/>
    <w:rsid w:val="00B63243"/>
    <w:rsid w:val="00B634F4"/>
    <w:rsid w:val="00B70EF6"/>
    <w:rsid w:val="00B70F70"/>
    <w:rsid w:val="00B71B01"/>
    <w:rsid w:val="00B73F00"/>
    <w:rsid w:val="00B7481D"/>
    <w:rsid w:val="00B75024"/>
    <w:rsid w:val="00B753A3"/>
    <w:rsid w:val="00B77425"/>
    <w:rsid w:val="00B800C7"/>
    <w:rsid w:val="00B8263B"/>
    <w:rsid w:val="00B82692"/>
    <w:rsid w:val="00B82959"/>
    <w:rsid w:val="00B833AC"/>
    <w:rsid w:val="00B84350"/>
    <w:rsid w:val="00B858FA"/>
    <w:rsid w:val="00B85A96"/>
    <w:rsid w:val="00B93DE0"/>
    <w:rsid w:val="00B94370"/>
    <w:rsid w:val="00B96AC3"/>
    <w:rsid w:val="00B96C06"/>
    <w:rsid w:val="00B97841"/>
    <w:rsid w:val="00BA1D81"/>
    <w:rsid w:val="00BA24BE"/>
    <w:rsid w:val="00BA31B9"/>
    <w:rsid w:val="00BA37F4"/>
    <w:rsid w:val="00BA3B11"/>
    <w:rsid w:val="00BA501E"/>
    <w:rsid w:val="00BA5A88"/>
    <w:rsid w:val="00BA6591"/>
    <w:rsid w:val="00BA6B2F"/>
    <w:rsid w:val="00BA7695"/>
    <w:rsid w:val="00BB175D"/>
    <w:rsid w:val="00BB33B6"/>
    <w:rsid w:val="00BB37C5"/>
    <w:rsid w:val="00BB3F88"/>
    <w:rsid w:val="00BC1918"/>
    <w:rsid w:val="00BC28F6"/>
    <w:rsid w:val="00BC583D"/>
    <w:rsid w:val="00BC59D4"/>
    <w:rsid w:val="00BC6B85"/>
    <w:rsid w:val="00BC7C29"/>
    <w:rsid w:val="00BD1D5D"/>
    <w:rsid w:val="00BD2379"/>
    <w:rsid w:val="00BD41E2"/>
    <w:rsid w:val="00BD4471"/>
    <w:rsid w:val="00BD4896"/>
    <w:rsid w:val="00BD5867"/>
    <w:rsid w:val="00BD5F61"/>
    <w:rsid w:val="00BD7115"/>
    <w:rsid w:val="00BE0AA2"/>
    <w:rsid w:val="00BE5812"/>
    <w:rsid w:val="00BE75B8"/>
    <w:rsid w:val="00BE7A9C"/>
    <w:rsid w:val="00BF1669"/>
    <w:rsid w:val="00BF2333"/>
    <w:rsid w:val="00C005C6"/>
    <w:rsid w:val="00C016F9"/>
    <w:rsid w:val="00C02197"/>
    <w:rsid w:val="00C0377D"/>
    <w:rsid w:val="00C048E3"/>
    <w:rsid w:val="00C05F4D"/>
    <w:rsid w:val="00C10A51"/>
    <w:rsid w:val="00C13242"/>
    <w:rsid w:val="00C142D9"/>
    <w:rsid w:val="00C154F6"/>
    <w:rsid w:val="00C209D9"/>
    <w:rsid w:val="00C20EF1"/>
    <w:rsid w:val="00C213D6"/>
    <w:rsid w:val="00C215D7"/>
    <w:rsid w:val="00C23F6F"/>
    <w:rsid w:val="00C254D7"/>
    <w:rsid w:val="00C25F80"/>
    <w:rsid w:val="00C272D5"/>
    <w:rsid w:val="00C303F4"/>
    <w:rsid w:val="00C30E70"/>
    <w:rsid w:val="00C368BE"/>
    <w:rsid w:val="00C378DA"/>
    <w:rsid w:val="00C424CC"/>
    <w:rsid w:val="00C427A5"/>
    <w:rsid w:val="00C43698"/>
    <w:rsid w:val="00C4485C"/>
    <w:rsid w:val="00C44947"/>
    <w:rsid w:val="00C45122"/>
    <w:rsid w:val="00C46DF0"/>
    <w:rsid w:val="00C52046"/>
    <w:rsid w:val="00C53A79"/>
    <w:rsid w:val="00C5464A"/>
    <w:rsid w:val="00C55E84"/>
    <w:rsid w:val="00C610D5"/>
    <w:rsid w:val="00C617E1"/>
    <w:rsid w:val="00C6586F"/>
    <w:rsid w:val="00C65BF2"/>
    <w:rsid w:val="00C66B64"/>
    <w:rsid w:val="00C67713"/>
    <w:rsid w:val="00C678EB"/>
    <w:rsid w:val="00C72555"/>
    <w:rsid w:val="00C744BD"/>
    <w:rsid w:val="00C74C40"/>
    <w:rsid w:val="00C75267"/>
    <w:rsid w:val="00C80E0C"/>
    <w:rsid w:val="00C86D0D"/>
    <w:rsid w:val="00C90811"/>
    <w:rsid w:val="00C9291F"/>
    <w:rsid w:val="00C929A0"/>
    <w:rsid w:val="00C93363"/>
    <w:rsid w:val="00C9382E"/>
    <w:rsid w:val="00C95377"/>
    <w:rsid w:val="00C95D76"/>
    <w:rsid w:val="00CA11CB"/>
    <w:rsid w:val="00CA385F"/>
    <w:rsid w:val="00CA4294"/>
    <w:rsid w:val="00CA6CE9"/>
    <w:rsid w:val="00CA7171"/>
    <w:rsid w:val="00CA739E"/>
    <w:rsid w:val="00CB0DAF"/>
    <w:rsid w:val="00CB5EEF"/>
    <w:rsid w:val="00CB770D"/>
    <w:rsid w:val="00CC16B0"/>
    <w:rsid w:val="00CC21AA"/>
    <w:rsid w:val="00CC3134"/>
    <w:rsid w:val="00CC6897"/>
    <w:rsid w:val="00CD2698"/>
    <w:rsid w:val="00CE015B"/>
    <w:rsid w:val="00CE0727"/>
    <w:rsid w:val="00CE1A13"/>
    <w:rsid w:val="00CE37DA"/>
    <w:rsid w:val="00CE4710"/>
    <w:rsid w:val="00CF3ECE"/>
    <w:rsid w:val="00CF51D0"/>
    <w:rsid w:val="00CF67A3"/>
    <w:rsid w:val="00CF7129"/>
    <w:rsid w:val="00D037F9"/>
    <w:rsid w:val="00D04152"/>
    <w:rsid w:val="00D0415B"/>
    <w:rsid w:val="00D04C8A"/>
    <w:rsid w:val="00D066D7"/>
    <w:rsid w:val="00D06809"/>
    <w:rsid w:val="00D06894"/>
    <w:rsid w:val="00D1357C"/>
    <w:rsid w:val="00D165B2"/>
    <w:rsid w:val="00D1739E"/>
    <w:rsid w:val="00D204F1"/>
    <w:rsid w:val="00D214C8"/>
    <w:rsid w:val="00D22012"/>
    <w:rsid w:val="00D240FC"/>
    <w:rsid w:val="00D24818"/>
    <w:rsid w:val="00D254E4"/>
    <w:rsid w:val="00D27BEC"/>
    <w:rsid w:val="00D301BB"/>
    <w:rsid w:val="00D347BE"/>
    <w:rsid w:val="00D34B61"/>
    <w:rsid w:val="00D353FD"/>
    <w:rsid w:val="00D40CA4"/>
    <w:rsid w:val="00D40CA5"/>
    <w:rsid w:val="00D41BAC"/>
    <w:rsid w:val="00D42C69"/>
    <w:rsid w:val="00D4327F"/>
    <w:rsid w:val="00D44788"/>
    <w:rsid w:val="00D45C4E"/>
    <w:rsid w:val="00D45C85"/>
    <w:rsid w:val="00D45D89"/>
    <w:rsid w:val="00D471D5"/>
    <w:rsid w:val="00D5333A"/>
    <w:rsid w:val="00D5468F"/>
    <w:rsid w:val="00D569C0"/>
    <w:rsid w:val="00D57B35"/>
    <w:rsid w:val="00D57C8E"/>
    <w:rsid w:val="00D57EE9"/>
    <w:rsid w:val="00D60208"/>
    <w:rsid w:val="00D614E9"/>
    <w:rsid w:val="00D615C6"/>
    <w:rsid w:val="00D62FF3"/>
    <w:rsid w:val="00D645B9"/>
    <w:rsid w:val="00D662D4"/>
    <w:rsid w:val="00D706E5"/>
    <w:rsid w:val="00D71F75"/>
    <w:rsid w:val="00D735EC"/>
    <w:rsid w:val="00D73C9A"/>
    <w:rsid w:val="00D73DD9"/>
    <w:rsid w:val="00D74892"/>
    <w:rsid w:val="00D7701F"/>
    <w:rsid w:val="00D77DA5"/>
    <w:rsid w:val="00D82D57"/>
    <w:rsid w:val="00D830E4"/>
    <w:rsid w:val="00D839A8"/>
    <w:rsid w:val="00D846CE"/>
    <w:rsid w:val="00D8480A"/>
    <w:rsid w:val="00D84839"/>
    <w:rsid w:val="00D86606"/>
    <w:rsid w:val="00D87D25"/>
    <w:rsid w:val="00D9130B"/>
    <w:rsid w:val="00D9384C"/>
    <w:rsid w:val="00D93A3F"/>
    <w:rsid w:val="00D957C2"/>
    <w:rsid w:val="00D96DC7"/>
    <w:rsid w:val="00DA241E"/>
    <w:rsid w:val="00DA642C"/>
    <w:rsid w:val="00DB05B2"/>
    <w:rsid w:val="00DB16C3"/>
    <w:rsid w:val="00DB23DE"/>
    <w:rsid w:val="00DB2DE3"/>
    <w:rsid w:val="00DB37B2"/>
    <w:rsid w:val="00DB40D3"/>
    <w:rsid w:val="00DB60FF"/>
    <w:rsid w:val="00DB6856"/>
    <w:rsid w:val="00DC19D1"/>
    <w:rsid w:val="00DC1C15"/>
    <w:rsid w:val="00DC2FA1"/>
    <w:rsid w:val="00DC449C"/>
    <w:rsid w:val="00DC4745"/>
    <w:rsid w:val="00DD5238"/>
    <w:rsid w:val="00DD5300"/>
    <w:rsid w:val="00DE0180"/>
    <w:rsid w:val="00DE06A9"/>
    <w:rsid w:val="00DE2D72"/>
    <w:rsid w:val="00DE3E42"/>
    <w:rsid w:val="00DE4D46"/>
    <w:rsid w:val="00DE6ADD"/>
    <w:rsid w:val="00DF0D35"/>
    <w:rsid w:val="00DF18CB"/>
    <w:rsid w:val="00DF31DC"/>
    <w:rsid w:val="00DF5EA3"/>
    <w:rsid w:val="00DF6FED"/>
    <w:rsid w:val="00DF7548"/>
    <w:rsid w:val="00DF77AE"/>
    <w:rsid w:val="00E019B7"/>
    <w:rsid w:val="00E0291B"/>
    <w:rsid w:val="00E02D61"/>
    <w:rsid w:val="00E05371"/>
    <w:rsid w:val="00E05924"/>
    <w:rsid w:val="00E06A42"/>
    <w:rsid w:val="00E070E0"/>
    <w:rsid w:val="00E1328E"/>
    <w:rsid w:val="00E15B57"/>
    <w:rsid w:val="00E15FF6"/>
    <w:rsid w:val="00E218FC"/>
    <w:rsid w:val="00E229C8"/>
    <w:rsid w:val="00E253BD"/>
    <w:rsid w:val="00E26768"/>
    <w:rsid w:val="00E30428"/>
    <w:rsid w:val="00E310C9"/>
    <w:rsid w:val="00E31B2A"/>
    <w:rsid w:val="00E32CB6"/>
    <w:rsid w:val="00E36F58"/>
    <w:rsid w:val="00E37711"/>
    <w:rsid w:val="00E41240"/>
    <w:rsid w:val="00E41CE1"/>
    <w:rsid w:val="00E42EFB"/>
    <w:rsid w:val="00E44A7B"/>
    <w:rsid w:val="00E4636A"/>
    <w:rsid w:val="00E506E8"/>
    <w:rsid w:val="00E52A50"/>
    <w:rsid w:val="00E5482A"/>
    <w:rsid w:val="00E54B20"/>
    <w:rsid w:val="00E54F02"/>
    <w:rsid w:val="00E5505A"/>
    <w:rsid w:val="00E5556B"/>
    <w:rsid w:val="00E57030"/>
    <w:rsid w:val="00E57C55"/>
    <w:rsid w:val="00E6033C"/>
    <w:rsid w:val="00E61504"/>
    <w:rsid w:val="00E6284D"/>
    <w:rsid w:val="00E62987"/>
    <w:rsid w:val="00E6606D"/>
    <w:rsid w:val="00E70620"/>
    <w:rsid w:val="00E7074E"/>
    <w:rsid w:val="00E70FC3"/>
    <w:rsid w:val="00E7185A"/>
    <w:rsid w:val="00E7265A"/>
    <w:rsid w:val="00E7265B"/>
    <w:rsid w:val="00E7391B"/>
    <w:rsid w:val="00E7518E"/>
    <w:rsid w:val="00E75844"/>
    <w:rsid w:val="00E77106"/>
    <w:rsid w:val="00E83B71"/>
    <w:rsid w:val="00E846EC"/>
    <w:rsid w:val="00E872F9"/>
    <w:rsid w:val="00E906DF"/>
    <w:rsid w:val="00E92B30"/>
    <w:rsid w:val="00E935A7"/>
    <w:rsid w:val="00E9381B"/>
    <w:rsid w:val="00E947E8"/>
    <w:rsid w:val="00E95419"/>
    <w:rsid w:val="00E97C4D"/>
    <w:rsid w:val="00EA31D2"/>
    <w:rsid w:val="00EA329E"/>
    <w:rsid w:val="00EA488A"/>
    <w:rsid w:val="00EA607D"/>
    <w:rsid w:val="00EA7349"/>
    <w:rsid w:val="00EB186D"/>
    <w:rsid w:val="00EB4424"/>
    <w:rsid w:val="00EB4FF8"/>
    <w:rsid w:val="00EB5B9A"/>
    <w:rsid w:val="00EB6B5E"/>
    <w:rsid w:val="00EB6F05"/>
    <w:rsid w:val="00EB7BAD"/>
    <w:rsid w:val="00EB7FB2"/>
    <w:rsid w:val="00EC03BF"/>
    <w:rsid w:val="00EC314C"/>
    <w:rsid w:val="00EC45D9"/>
    <w:rsid w:val="00EC531E"/>
    <w:rsid w:val="00ED091B"/>
    <w:rsid w:val="00ED10ED"/>
    <w:rsid w:val="00ED17E8"/>
    <w:rsid w:val="00ED4246"/>
    <w:rsid w:val="00EE13AB"/>
    <w:rsid w:val="00EE3087"/>
    <w:rsid w:val="00EE728F"/>
    <w:rsid w:val="00EF0EB1"/>
    <w:rsid w:val="00EF14CD"/>
    <w:rsid w:val="00EF1732"/>
    <w:rsid w:val="00EF2597"/>
    <w:rsid w:val="00EF59A1"/>
    <w:rsid w:val="00F025B3"/>
    <w:rsid w:val="00F02F9B"/>
    <w:rsid w:val="00F04802"/>
    <w:rsid w:val="00F07775"/>
    <w:rsid w:val="00F0784F"/>
    <w:rsid w:val="00F1026B"/>
    <w:rsid w:val="00F106DC"/>
    <w:rsid w:val="00F1254F"/>
    <w:rsid w:val="00F13D75"/>
    <w:rsid w:val="00F140BF"/>
    <w:rsid w:val="00F147F1"/>
    <w:rsid w:val="00F14EE5"/>
    <w:rsid w:val="00F15B2C"/>
    <w:rsid w:val="00F16F20"/>
    <w:rsid w:val="00F17E4A"/>
    <w:rsid w:val="00F20845"/>
    <w:rsid w:val="00F22D84"/>
    <w:rsid w:val="00F2368B"/>
    <w:rsid w:val="00F23882"/>
    <w:rsid w:val="00F23A1B"/>
    <w:rsid w:val="00F24BD0"/>
    <w:rsid w:val="00F25175"/>
    <w:rsid w:val="00F300F1"/>
    <w:rsid w:val="00F3085A"/>
    <w:rsid w:val="00F308BA"/>
    <w:rsid w:val="00F30F0E"/>
    <w:rsid w:val="00F32B3D"/>
    <w:rsid w:val="00F3426C"/>
    <w:rsid w:val="00F347DE"/>
    <w:rsid w:val="00F35135"/>
    <w:rsid w:val="00F36260"/>
    <w:rsid w:val="00F41356"/>
    <w:rsid w:val="00F4162C"/>
    <w:rsid w:val="00F43E43"/>
    <w:rsid w:val="00F45FFD"/>
    <w:rsid w:val="00F46299"/>
    <w:rsid w:val="00F5174A"/>
    <w:rsid w:val="00F51CEA"/>
    <w:rsid w:val="00F53033"/>
    <w:rsid w:val="00F5690E"/>
    <w:rsid w:val="00F57C82"/>
    <w:rsid w:val="00F628C0"/>
    <w:rsid w:val="00F634B7"/>
    <w:rsid w:val="00F669AA"/>
    <w:rsid w:val="00F66F27"/>
    <w:rsid w:val="00F70670"/>
    <w:rsid w:val="00F72187"/>
    <w:rsid w:val="00F72DBC"/>
    <w:rsid w:val="00F73342"/>
    <w:rsid w:val="00F73CE6"/>
    <w:rsid w:val="00F73E17"/>
    <w:rsid w:val="00F74182"/>
    <w:rsid w:val="00F741CB"/>
    <w:rsid w:val="00F7444D"/>
    <w:rsid w:val="00F75063"/>
    <w:rsid w:val="00F76184"/>
    <w:rsid w:val="00F76417"/>
    <w:rsid w:val="00F76924"/>
    <w:rsid w:val="00F7795E"/>
    <w:rsid w:val="00F8111D"/>
    <w:rsid w:val="00F82B15"/>
    <w:rsid w:val="00F82D83"/>
    <w:rsid w:val="00F8364E"/>
    <w:rsid w:val="00F8412D"/>
    <w:rsid w:val="00F92EF7"/>
    <w:rsid w:val="00F9376E"/>
    <w:rsid w:val="00F946F2"/>
    <w:rsid w:val="00F95090"/>
    <w:rsid w:val="00F956C2"/>
    <w:rsid w:val="00F971F4"/>
    <w:rsid w:val="00FA104A"/>
    <w:rsid w:val="00FA4325"/>
    <w:rsid w:val="00FB0208"/>
    <w:rsid w:val="00FB2A11"/>
    <w:rsid w:val="00FB5438"/>
    <w:rsid w:val="00FB5F17"/>
    <w:rsid w:val="00FB71C0"/>
    <w:rsid w:val="00FB7C0D"/>
    <w:rsid w:val="00FC24B5"/>
    <w:rsid w:val="00FC4AFC"/>
    <w:rsid w:val="00FD0C42"/>
    <w:rsid w:val="00FD1942"/>
    <w:rsid w:val="00FD1B8A"/>
    <w:rsid w:val="00FD3D99"/>
    <w:rsid w:val="00FD63F9"/>
    <w:rsid w:val="00FD6892"/>
    <w:rsid w:val="00FE49DA"/>
    <w:rsid w:val="00FE7568"/>
    <w:rsid w:val="00FF023E"/>
    <w:rsid w:val="00FF0C6C"/>
    <w:rsid w:val="00FF37D1"/>
    <w:rsid w:val="00FF4A8F"/>
    <w:rsid w:val="00FF649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F13178"/>
  <w15:docId w15:val="{B1C6CEFB-CDDA-4D03-9026-E62E0C3B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2DE"/>
    <w:rPr>
      <w:sz w:val="24"/>
      <w:szCs w:val="24"/>
    </w:rPr>
  </w:style>
  <w:style w:type="paragraph" w:styleId="Ttulo1">
    <w:name w:val="heading 1"/>
    <w:aliases w:val="grandes"/>
    <w:basedOn w:val="Normal"/>
    <w:next w:val="Normal"/>
    <w:rsid w:val="000E15BD"/>
    <w:pPr>
      <w:keepNext/>
      <w:ind w:left="360"/>
      <w:outlineLvl w:val="0"/>
    </w:pPr>
    <w:rPr>
      <w:rFonts w:ascii="Arial" w:hAnsi="Arial"/>
      <w:b/>
      <w:bCs/>
      <w:color w:val="17365D" w:themeColor="text2" w:themeShade="BF"/>
      <w:lang w:val="es-MX"/>
    </w:rPr>
  </w:style>
  <w:style w:type="paragraph" w:styleId="Ttulo2">
    <w:name w:val="heading 2"/>
    <w:basedOn w:val="Normal"/>
    <w:next w:val="Normal"/>
    <w:link w:val="Ttulo2Car"/>
    <w:qFormat/>
    <w:rsid w:val="00332B57"/>
    <w:pPr>
      <w:keepNext/>
      <w:numPr>
        <w:numId w:val="4"/>
      </w:numPr>
      <w:jc w:val="center"/>
      <w:outlineLvl w:val="1"/>
    </w:pPr>
    <w:rPr>
      <w:b/>
      <w:bCs/>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422DE"/>
    <w:pPr>
      <w:ind w:left="360" w:firstLine="360"/>
    </w:pPr>
    <w:rPr>
      <w:lang w:val="es-MX"/>
    </w:rPr>
  </w:style>
  <w:style w:type="paragraph" w:styleId="Sangra2detindependiente">
    <w:name w:val="Body Text Indent 2"/>
    <w:basedOn w:val="Normal"/>
    <w:rsid w:val="001422DE"/>
    <w:pPr>
      <w:ind w:left="720"/>
    </w:pPr>
    <w:rPr>
      <w:lang w:val="es-MX"/>
    </w:rPr>
  </w:style>
  <w:style w:type="paragraph" w:styleId="Ttulo">
    <w:name w:val="Title"/>
    <w:aliases w:val="peque"/>
    <w:basedOn w:val="Normal"/>
    <w:link w:val="TtuloCar"/>
    <w:qFormat/>
    <w:rsid w:val="00EB4FF8"/>
    <w:rPr>
      <w:rFonts w:ascii="Arial" w:hAnsi="Arial"/>
      <w:b/>
      <w:bCs/>
      <w:color w:val="17365D" w:themeColor="text2" w:themeShade="BF"/>
      <w:sz w:val="22"/>
      <w:lang w:val="es-MX"/>
    </w:rPr>
  </w:style>
  <w:style w:type="paragraph" w:styleId="Sangra3detindependiente">
    <w:name w:val="Body Text Indent 3"/>
    <w:basedOn w:val="Normal"/>
    <w:rsid w:val="001422DE"/>
    <w:pPr>
      <w:ind w:left="720" w:hanging="360"/>
    </w:pPr>
    <w:rPr>
      <w:lang w:val="es-MX"/>
    </w:rPr>
  </w:style>
  <w:style w:type="paragraph" w:styleId="Encabezado">
    <w:name w:val="header"/>
    <w:basedOn w:val="Normal"/>
    <w:link w:val="EncabezadoCar"/>
    <w:uiPriority w:val="99"/>
    <w:rsid w:val="001422DE"/>
    <w:pPr>
      <w:tabs>
        <w:tab w:val="center" w:pos="4252"/>
        <w:tab w:val="right" w:pos="8504"/>
      </w:tabs>
    </w:pPr>
  </w:style>
  <w:style w:type="paragraph" w:styleId="Piedepgina">
    <w:name w:val="footer"/>
    <w:basedOn w:val="Normal"/>
    <w:link w:val="PiedepginaCar"/>
    <w:uiPriority w:val="99"/>
    <w:rsid w:val="001422DE"/>
    <w:pPr>
      <w:tabs>
        <w:tab w:val="center" w:pos="4252"/>
        <w:tab w:val="right" w:pos="8504"/>
      </w:tabs>
    </w:pPr>
  </w:style>
  <w:style w:type="paragraph" w:styleId="Textodeglobo">
    <w:name w:val="Balloon Text"/>
    <w:basedOn w:val="Normal"/>
    <w:semiHidden/>
    <w:rsid w:val="009C15D9"/>
    <w:rPr>
      <w:rFonts w:ascii="Tahoma" w:hAnsi="Tahoma" w:cs="Tahoma"/>
      <w:sz w:val="16"/>
      <w:szCs w:val="16"/>
    </w:rPr>
  </w:style>
  <w:style w:type="table" w:styleId="Tablaconcuadrcula">
    <w:name w:val="Table Grid"/>
    <w:basedOn w:val="Tablanormal"/>
    <w:rsid w:val="00AA0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9340B8"/>
    <w:rPr>
      <w:sz w:val="16"/>
      <w:szCs w:val="16"/>
    </w:rPr>
  </w:style>
  <w:style w:type="paragraph" w:styleId="Textocomentario">
    <w:name w:val="annotation text"/>
    <w:basedOn w:val="Normal"/>
    <w:link w:val="TextocomentarioCar"/>
    <w:semiHidden/>
    <w:rsid w:val="009340B8"/>
    <w:rPr>
      <w:sz w:val="20"/>
      <w:szCs w:val="20"/>
    </w:rPr>
  </w:style>
  <w:style w:type="paragraph" w:styleId="Asuntodelcomentario">
    <w:name w:val="annotation subject"/>
    <w:basedOn w:val="Textocomentario"/>
    <w:next w:val="Textocomentario"/>
    <w:semiHidden/>
    <w:rsid w:val="009340B8"/>
    <w:rPr>
      <w:b/>
      <w:bCs/>
    </w:rPr>
  </w:style>
  <w:style w:type="paragraph" w:styleId="Textonotapie">
    <w:name w:val="footnote text"/>
    <w:basedOn w:val="Normal"/>
    <w:semiHidden/>
    <w:rsid w:val="00B10A20"/>
    <w:rPr>
      <w:sz w:val="20"/>
      <w:szCs w:val="20"/>
    </w:rPr>
  </w:style>
  <w:style w:type="character" w:styleId="Refdenotaalpie">
    <w:name w:val="footnote reference"/>
    <w:basedOn w:val="Fuentedeprrafopredeter"/>
    <w:semiHidden/>
    <w:rsid w:val="00B10A20"/>
    <w:rPr>
      <w:vertAlign w:val="superscript"/>
    </w:rPr>
  </w:style>
  <w:style w:type="paragraph" w:styleId="Textoindependiente">
    <w:name w:val="Body Text"/>
    <w:basedOn w:val="Normal"/>
    <w:link w:val="TextoindependienteCar"/>
    <w:rsid w:val="00BD2379"/>
    <w:pPr>
      <w:spacing w:after="120"/>
    </w:pPr>
  </w:style>
  <w:style w:type="paragraph" w:styleId="Prrafodelista">
    <w:name w:val="List Paragraph"/>
    <w:basedOn w:val="Normal"/>
    <w:link w:val="PrrafodelistaCar"/>
    <w:uiPriority w:val="34"/>
    <w:qFormat/>
    <w:rsid w:val="0022673D"/>
    <w:pPr>
      <w:ind w:left="708"/>
    </w:pPr>
  </w:style>
  <w:style w:type="character" w:customStyle="1" w:styleId="PiedepginaCar">
    <w:name w:val="Pie de página Car"/>
    <w:basedOn w:val="Fuentedeprrafopredeter"/>
    <w:link w:val="Piedepgina"/>
    <w:uiPriority w:val="99"/>
    <w:rsid w:val="00A0647C"/>
    <w:rPr>
      <w:sz w:val="24"/>
      <w:szCs w:val="24"/>
    </w:rPr>
  </w:style>
  <w:style w:type="character" w:styleId="Hipervnculo">
    <w:name w:val="Hyperlink"/>
    <w:basedOn w:val="Fuentedeprrafopredeter"/>
    <w:uiPriority w:val="99"/>
    <w:unhideWhenUsed/>
    <w:rsid w:val="00EB7BAD"/>
    <w:rPr>
      <w:color w:val="0000FF" w:themeColor="hyperlink"/>
      <w:u w:val="single"/>
    </w:rPr>
  </w:style>
  <w:style w:type="paragraph" w:customStyle="1" w:styleId="Default">
    <w:name w:val="Default"/>
    <w:rsid w:val="00E54F02"/>
    <w:pPr>
      <w:autoSpaceDE w:val="0"/>
      <w:autoSpaceDN w:val="0"/>
      <w:adjustRightInd w:val="0"/>
    </w:pPr>
    <w:rPr>
      <w:rFonts w:ascii="Arial" w:hAnsi="Arial" w:cs="Arial"/>
      <w:color w:val="000000"/>
      <w:sz w:val="24"/>
      <w:szCs w:val="24"/>
      <w:lang w:val="es-CR"/>
    </w:rPr>
  </w:style>
  <w:style w:type="table" w:styleId="Listaclara-nfasis5">
    <w:name w:val="Light List Accent 5"/>
    <w:basedOn w:val="Tablanormal"/>
    <w:uiPriority w:val="61"/>
    <w:rsid w:val="00DB37B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
    <w:name w:val="Light List"/>
    <w:basedOn w:val="Tablanormal"/>
    <w:uiPriority w:val="61"/>
    <w:rsid w:val="00E555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nfasissutil">
    <w:name w:val="Subtle Emphasis"/>
    <w:basedOn w:val="Fuentedeprrafopredeter"/>
    <w:uiPriority w:val="19"/>
    <w:qFormat/>
    <w:rsid w:val="002121A7"/>
    <w:rPr>
      <w:i/>
      <w:iCs/>
      <w:color w:val="808080" w:themeColor="text1" w:themeTint="7F"/>
    </w:rPr>
  </w:style>
  <w:style w:type="paragraph" w:styleId="Sinespaciado">
    <w:name w:val="No Spacing"/>
    <w:link w:val="SinespaciadoCar"/>
    <w:uiPriority w:val="1"/>
    <w:qFormat/>
    <w:rsid w:val="002121A7"/>
    <w:rPr>
      <w:sz w:val="24"/>
      <w:szCs w:val="24"/>
    </w:rPr>
  </w:style>
  <w:style w:type="character" w:styleId="nfasisintenso">
    <w:name w:val="Intense Emphasis"/>
    <w:basedOn w:val="Fuentedeprrafopredeter"/>
    <w:uiPriority w:val="21"/>
    <w:qFormat/>
    <w:rsid w:val="002121A7"/>
    <w:rPr>
      <w:b/>
      <w:bCs/>
      <w:i/>
      <w:iCs/>
      <w:color w:val="4F81BD" w:themeColor="accent1"/>
    </w:rPr>
  </w:style>
  <w:style w:type="paragraph" w:styleId="TtuloTDC">
    <w:name w:val="TOC Heading"/>
    <w:basedOn w:val="Ttulo1"/>
    <w:next w:val="Normal"/>
    <w:uiPriority w:val="39"/>
    <w:unhideWhenUsed/>
    <w:qFormat/>
    <w:rsid w:val="002121A7"/>
    <w:pPr>
      <w:keepLines/>
      <w:spacing w:before="480" w:line="276" w:lineRule="auto"/>
      <w:ind w:left="0"/>
      <w:outlineLvl w:val="9"/>
    </w:pPr>
    <w:rPr>
      <w:rFonts w:asciiTheme="majorHAnsi" w:eastAsiaTheme="majorEastAsia" w:hAnsiTheme="majorHAnsi" w:cstheme="majorBidi"/>
      <w:color w:val="365F91" w:themeColor="accent1" w:themeShade="BF"/>
      <w:sz w:val="28"/>
      <w:szCs w:val="28"/>
      <w:lang w:val="es-CR" w:eastAsia="es-CR"/>
    </w:rPr>
  </w:style>
  <w:style w:type="paragraph" w:styleId="TDC1">
    <w:name w:val="toc 1"/>
    <w:basedOn w:val="Normal"/>
    <w:next w:val="Normal"/>
    <w:autoRedefine/>
    <w:uiPriority w:val="39"/>
    <w:rsid w:val="00B1362A"/>
    <w:pPr>
      <w:tabs>
        <w:tab w:val="right" w:leader="dot" w:pos="8494"/>
      </w:tabs>
      <w:spacing w:after="100"/>
      <w:jc w:val="center"/>
    </w:pPr>
    <w:rPr>
      <w:rFonts w:ascii="Arial" w:hAnsi="Arial"/>
      <w:bCs/>
      <w:smallCaps/>
      <w:noProof/>
      <w:color w:val="000000" w:themeColor="text1"/>
      <w:spacing w:val="5"/>
      <w:sz w:val="28"/>
      <w:lang w:val="es-MX"/>
    </w:rPr>
  </w:style>
  <w:style w:type="paragraph" w:styleId="TDC2">
    <w:name w:val="toc 2"/>
    <w:basedOn w:val="Normal"/>
    <w:next w:val="Normal"/>
    <w:autoRedefine/>
    <w:uiPriority w:val="39"/>
    <w:rsid w:val="002121A7"/>
    <w:pPr>
      <w:spacing w:after="100"/>
      <w:ind w:left="240"/>
    </w:pPr>
  </w:style>
  <w:style w:type="character" w:customStyle="1" w:styleId="EncabezadoCar">
    <w:name w:val="Encabezado Car"/>
    <w:basedOn w:val="Fuentedeprrafopredeter"/>
    <w:link w:val="Encabezado"/>
    <w:uiPriority w:val="99"/>
    <w:rsid w:val="003D7DEA"/>
    <w:rPr>
      <w:sz w:val="24"/>
      <w:szCs w:val="24"/>
    </w:rPr>
  </w:style>
  <w:style w:type="table" w:styleId="Listaclara-nfasis1">
    <w:name w:val="Light List Accent 1"/>
    <w:basedOn w:val="Tablanormal"/>
    <w:uiPriority w:val="61"/>
    <w:rsid w:val="00B21CF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242891"/>
    <w:rPr>
      <w:sz w:val="24"/>
      <w:szCs w:val="24"/>
    </w:rPr>
  </w:style>
  <w:style w:type="character" w:styleId="Textoennegrita">
    <w:name w:val="Strong"/>
    <w:aliases w:val="apartados"/>
    <w:basedOn w:val="Fuentedeprrafopredeter"/>
    <w:rsid w:val="00EB4FF8"/>
    <w:rPr>
      <w:rFonts w:ascii="Arial" w:hAnsi="Arial"/>
      <w:b/>
      <w:bCs/>
      <w:color w:val="17365D" w:themeColor="text2" w:themeShade="BF"/>
      <w:sz w:val="24"/>
    </w:rPr>
  </w:style>
  <w:style w:type="paragraph" w:styleId="Subttulo">
    <w:name w:val="Subtitle"/>
    <w:basedOn w:val="Normal"/>
    <w:next w:val="Normal"/>
    <w:link w:val="SubttuloCar"/>
    <w:qFormat/>
    <w:rsid w:val="00EB4FF8"/>
    <w:pPr>
      <w:numPr>
        <w:ilvl w:val="1"/>
      </w:numPr>
    </w:pPr>
    <w:rPr>
      <w:rFonts w:ascii="Arial" w:eastAsiaTheme="majorEastAsia" w:hAnsi="Arial" w:cstheme="majorBidi"/>
      <w:b/>
      <w:iCs/>
      <w:color w:val="17365D" w:themeColor="text2" w:themeShade="BF"/>
      <w:spacing w:val="15"/>
      <w:sz w:val="22"/>
    </w:rPr>
  </w:style>
  <w:style w:type="character" w:customStyle="1" w:styleId="SubttuloCar">
    <w:name w:val="Subtítulo Car"/>
    <w:basedOn w:val="Fuentedeprrafopredeter"/>
    <w:link w:val="Subttulo"/>
    <w:rsid w:val="00EB4FF8"/>
    <w:rPr>
      <w:rFonts w:ascii="Arial" w:eastAsiaTheme="majorEastAsia" w:hAnsi="Arial" w:cstheme="majorBidi"/>
      <w:b/>
      <w:iCs/>
      <w:color w:val="17365D" w:themeColor="text2" w:themeShade="BF"/>
      <w:spacing w:val="15"/>
      <w:sz w:val="22"/>
      <w:szCs w:val="24"/>
    </w:rPr>
  </w:style>
  <w:style w:type="character" w:styleId="Ttulodellibro">
    <w:name w:val="Book Title"/>
    <w:basedOn w:val="Fuentedeprrafopredeter"/>
    <w:uiPriority w:val="33"/>
    <w:qFormat/>
    <w:rsid w:val="00284030"/>
    <w:rPr>
      <w:rFonts w:ascii="Arial" w:hAnsi="Arial"/>
      <w:b/>
      <w:bCs/>
      <w:smallCaps/>
      <w:spacing w:val="5"/>
    </w:rPr>
  </w:style>
  <w:style w:type="character" w:styleId="nfasis">
    <w:name w:val="Emphasis"/>
    <w:basedOn w:val="Fuentedeprrafopredeter"/>
    <w:qFormat/>
    <w:rsid w:val="0008081E"/>
    <w:rPr>
      <w:i/>
      <w:iCs/>
    </w:rPr>
  </w:style>
  <w:style w:type="paragraph" w:styleId="Textoindependienteprimerasangra2">
    <w:name w:val="Body Text First Indent 2"/>
    <w:basedOn w:val="Sangradetextonormal"/>
    <w:link w:val="Textoindependienteprimerasangra2Car"/>
    <w:rsid w:val="00EF0EB1"/>
    <w:pPr>
      <w:spacing w:after="120"/>
      <w:ind w:left="283" w:firstLine="210"/>
    </w:pPr>
    <w:rPr>
      <w:rFonts w:ascii="Arial" w:hAnsi="Arial"/>
      <w:lang w:val="es-CR"/>
    </w:rPr>
  </w:style>
  <w:style w:type="character" w:customStyle="1" w:styleId="SangradetextonormalCar">
    <w:name w:val="Sangría de texto normal Car"/>
    <w:basedOn w:val="Fuentedeprrafopredeter"/>
    <w:link w:val="Sangradetextonormal"/>
    <w:rsid w:val="00EF0EB1"/>
    <w:rPr>
      <w:sz w:val="24"/>
      <w:szCs w:val="24"/>
      <w:lang w:val="es-MX"/>
    </w:rPr>
  </w:style>
  <w:style w:type="character" w:customStyle="1" w:styleId="Textoindependienteprimerasangra2Car">
    <w:name w:val="Texto independiente primera sangría 2 Car"/>
    <w:basedOn w:val="SangradetextonormalCar"/>
    <w:link w:val="Textoindependienteprimerasangra2"/>
    <w:rsid w:val="00EF0EB1"/>
    <w:rPr>
      <w:rFonts w:ascii="Arial" w:hAnsi="Arial"/>
      <w:sz w:val="24"/>
      <w:szCs w:val="24"/>
      <w:lang w:val="es-CR"/>
    </w:rPr>
  </w:style>
  <w:style w:type="character" w:customStyle="1" w:styleId="PrrafodelistaCar">
    <w:name w:val="Párrafo de lista Car"/>
    <w:link w:val="Prrafodelista"/>
    <w:uiPriority w:val="34"/>
    <w:rsid w:val="00BC59D4"/>
    <w:rPr>
      <w:sz w:val="24"/>
      <w:szCs w:val="24"/>
    </w:rPr>
  </w:style>
  <w:style w:type="character" w:customStyle="1" w:styleId="TextoindependienteCar">
    <w:name w:val="Texto independiente Car"/>
    <w:basedOn w:val="Fuentedeprrafopredeter"/>
    <w:link w:val="Textoindependiente"/>
    <w:rsid w:val="005A4907"/>
    <w:rPr>
      <w:sz w:val="24"/>
      <w:szCs w:val="24"/>
    </w:rPr>
  </w:style>
  <w:style w:type="paragraph" w:styleId="Lista2">
    <w:name w:val="List 2"/>
    <w:basedOn w:val="Normal"/>
    <w:rsid w:val="005A4907"/>
    <w:pPr>
      <w:ind w:left="566" w:hanging="283"/>
    </w:pPr>
    <w:rPr>
      <w:rFonts w:ascii="Arial" w:hAnsi="Arial"/>
      <w:lang w:val="es-CR"/>
    </w:rPr>
  </w:style>
  <w:style w:type="character" w:customStyle="1" w:styleId="Ttulo2Car">
    <w:name w:val="Título 2 Car"/>
    <w:basedOn w:val="Fuentedeprrafopredeter"/>
    <w:link w:val="Ttulo2"/>
    <w:rsid w:val="00384757"/>
    <w:rPr>
      <w:b/>
      <w:bCs/>
      <w:szCs w:val="24"/>
      <w:lang w:val="es-MX"/>
    </w:rPr>
  </w:style>
  <w:style w:type="character" w:customStyle="1" w:styleId="TextocomentarioCar">
    <w:name w:val="Texto comentario Car"/>
    <w:basedOn w:val="Fuentedeprrafopredeter"/>
    <w:link w:val="Textocomentario"/>
    <w:semiHidden/>
    <w:rsid w:val="00384757"/>
  </w:style>
  <w:style w:type="character" w:customStyle="1" w:styleId="TtuloCar">
    <w:name w:val="Título Car"/>
    <w:aliases w:val="peque Car"/>
    <w:basedOn w:val="Fuentedeprrafopredeter"/>
    <w:link w:val="Ttulo"/>
    <w:locked/>
    <w:rsid w:val="00384757"/>
    <w:rPr>
      <w:rFonts w:ascii="Arial" w:hAnsi="Arial"/>
      <w:b/>
      <w:bCs/>
      <w:color w:val="17365D" w:themeColor="text2" w:themeShade="BF"/>
      <w:sz w:val="22"/>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801">
      <w:bodyDiv w:val="1"/>
      <w:marLeft w:val="0"/>
      <w:marRight w:val="0"/>
      <w:marTop w:val="0"/>
      <w:marBottom w:val="0"/>
      <w:divBdr>
        <w:top w:val="none" w:sz="0" w:space="0" w:color="auto"/>
        <w:left w:val="none" w:sz="0" w:space="0" w:color="auto"/>
        <w:bottom w:val="none" w:sz="0" w:space="0" w:color="auto"/>
        <w:right w:val="none" w:sz="0" w:space="0" w:color="auto"/>
      </w:divBdr>
    </w:div>
    <w:div w:id="98764393">
      <w:bodyDiv w:val="1"/>
      <w:marLeft w:val="0"/>
      <w:marRight w:val="0"/>
      <w:marTop w:val="0"/>
      <w:marBottom w:val="0"/>
      <w:divBdr>
        <w:top w:val="none" w:sz="0" w:space="0" w:color="auto"/>
        <w:left w:val="none" w:sz="0" w:space="0" w:color="auto"/>
        <w:bottom w:val="none" w:sz="0" w:space="0" w:color="auto"/>
        <w:right w:val="none" w:sz="0" w:space="0" w:color="auto"/>
      </w:divBdr>
    </w:div>
    <w:div w:id="137455500">
      <w:bodyDiv w:val="1"/>
      <w:marLeft w:val="0"/>
      <w:marRight w:val="0"/>
      <w:marTop w:val="0"/>
      <w:marBottom w:val="0"/>
      <w:divBdr>
        <w:top w:val="none" w:sz="0" w:space="0" w:color="auto"/>
        <w:left w:val="none" w:sz="0" w:space="0" w:color="auto"/>
        <w:bottom w:val="none" w:sz="0" w:space="0" w:color="auto"/>
        <w:right w:val="none" w:sz="0" w:space="0" w:color="auto"/>
      </w:divBdr>
    </w:div>
    <w:div w:id="165095915">
      <w:bodyDiv w:val="1"/>
      <w:marLeft w:val="0"/>
      <w:marRight w:val="0"/>
      <w:marTop w:val="0"/>
      <w:marBottom w:val="0"/>
      <w:divBdr>
        <w:top w:val="none" w:sz="0" w:space="0" w:color="auto"/>
        <w:left w:val="none" w:sz="0" w:space="0" w:color="auto"/>
        <w:bottom w:val="none" w:sz="0" w:space="0" w:color="auto"/>
        <w:right w:val="none" w:sz="0" w:space="0" w:color="auto"/>
      </w:divBdr>
    </w:div>
    <w:div w:id="624389724">
      <w:bodyDiv w:val="1"/>
      <w:marLeft w:val="0"/>
      <w:marRight w:val="0"/>
      <w:marTop w:val="0"/>
      <w:marBottom w:val="0"/>
      <w:divBdr>
        <w:top w:val="none" w:sz="0" w:space="0" w:color="auto"/>
        <w:left w:val="none" w:sz="0" w:space="0" w:color="auto"/>
        <w:bottom w:val="none" w:sz="0" w:space="0" w:color="auto"/>
        <w:right w:val="none" w:sz="0" w:space="0" w:color="auto"/>
      </w:divBdr>
    </w:div>
    <w:div w:id="746421875">
      <w:bodyDiv w:val="1"/>
      <w:marLeft w:val="0"/>
      <w:marRight w:val="0"/>
      <w:marTop w:val="0"/>
      <w:marBottom w:val="0"/>
      <w:divBdr>
        <w:top w:val="none" w:sz="0" w:space="0" w:color="auto"/>
        <w:left w:val="none" w:sz="0" w:space="0" w:color="auto"/>
        <w:bottom w:val="none" w:sz="0" w:space="0" w:color="auto"/>
        <w:right w:val="none" w:sz="0" w:space="0" w:color="auto"/>
      </w:divBdr>
    </w:div>
    <w:div w:id="845944277">
      <w:bodyDiv w:val="1"/>
      <w:marLeft w:val="0"/>
      <w:marRight w:val="0"/>
      <w:marTop w:val="0"/>
      <w:marBottom w:val="0"/>
      <w:divBdr>
        <w:top w:val="none" w:sz="0" w:space="0" w:color="auto"/>
        <w:left w:val="none" w:sz="0" w:space="0" w:color="auto"/>
        <w:bottom w:val="none" w:sz="0" w:space="0" w:color="auto"/>
        <w:right w:val="none" w:sz="0" w:space="0" w:color="auto"/>
      </w:divBdr>
    </w:div>
    <w:div w:id="876553646">
      <w:bodyDiv w:val="1"/>
      <w:marLeft w:val="0"/>
      <w:marRight w:val="0"/>
      <w:marTop w:val="0"/>
      <w:marBottom w:val="0"/>
      <w:divBdr>
        <w:top w:val="none" w:sz="0" w:space="0" w:color="auto"/>
        <w:left w:val="none" w:sz="0" w:space="0" w:color="auto"/>
        <w:bottom w:val="none" w:sz="0" w:space="0" w:color="auto"/>
        <w:right w:val="none" w:sz="0" w:space="0" w:color="auto"/>
      </w:divBdr>
    </w:div>
    <w:div w:id="924653301">
      <w:bodyDiv w:val="1"/>
      <w:marLeft w:val="0"/>
      <w:marRight w:val="0"/>
      <w:marTop w:val="0"/>
      <w:marBottom w:val="0"/>
      <w:divBdr>
        <w:top w:val="none" w:sz="0" w:space="0" w:color="auto"/>
        <w:left w:val="none" w:sz="0" w:space="0" w:color="auto"/>
        <w:bottom w:val="none" w:sz="0" w:space="0" w:color="auto"/>
        <w:right w:val="none" w:sz="0" w:space="0" w:color="auto"/>
      </w:divBdr>
    </w:div>
    <w:div w:id="968321184">
      <w:bodyDiv w:val="1"/>
      <w:marLeft w:val="0"/>
      <w:marRight w:val="0"/>
      <w:marTop w:val="0"/>
      <w:marBottom w:val="0"/>
      <w:divBdr>
        <w:top w:val="none" w:sz="0" w:space="0" w:color="auto"/>
        <w:left w:val="none" w:sz="0" w:space="0" w:color="auto"/>
        <w:bottom w:val="none" w:sz="0" w:space="0" w:color="auto"/>
        <w:right w:val="none" w:sz="0" w:space="0" w:color="auto"/>
      </w:divBdr>
    </w:div>
    <w:div w:id="1026904333">
      <w:bodyDiv w:val="1"/>
      <w:marLeft w:val="0"/>
      <w:marRight w:val="0"/>
      <w:marTop w:val="0"/>
      <w:marBottom w:val="0"/>
      <w:divBdr>
        <w:top w:val="none" w:sz="0" w:space="0" w:color="auto"/>
        <w:left w:val="none" w:sz="0" w:space="0" w:color="auto"/>
        <w:bottom w:val="none" w:sz="0" w:space="0" w:color="auto"/>
        <w:right w:val="none" w:sz="0" w:space="0" w:color="auto"/>
      </w:divBdr>
    </w:div>
    <w:div w:id="1090547772">
      <w:bodyDiv w:val="1"/>
      <w:marLeft w:val="0"/>
      <w:marRight w:val="0"/>
      <w:marTop w:val="0"/>
      <w:marBottom w:val="0"/>
      <w:divBdr>
        <w:top w:val="none" w:sz="0" w:space="0" w:color="auto"/>
        <w:left w:val="none" w:sz="0" w:space="0" w:color="auto"/>
        <w:bottom w:val="none" w:sz="0" w:space="0" w:color="auto"/>
        <w:right w:val="none" w:sz="0" w:space="0" w:color="auto"/>
      </w:divBdr>
    </w:div>
    <w:div w:id="1220898157">
      <w:bodyDiv w:val="1"/>
      <w:marLeft w:val="0"/>
      <w:marRight w:val="0"/>
      <w:marTop w:val="0"/>
      <w:marBottom w:val="0"/>
      <w:divBdr>
        <w:top w:val="none" w:sz="0" w:space="0" w:color="auto"/>
        <w:left w:val="none" w:sz="0" w:space="0" w:color="auto"/>
        <w:bottom w:val="none" w:sz="0" w:space="0" w:color="auto"/>
        <w:right w:val="none" w:sz="0" w:space="0" w:color="auto"/>
      </w:divBdr>
    </w:div>
    <w:div w:id="1228299854">
      <w:bodyDiv w:val="1"/>
      <w:marLeft w:val="0"/>
      <w:marRight w:val="0"/>
      <w:marTop w:val="0"/>
      <w:marBottom w:val="0"/>
      <w:divBdr>
        <w:top w:val="none" w:sz="0" w:space="0" w:color="auto"/>
        <w:left w:val="none" w:sz="0" w:space="0" w:color="auto"/>
        <w:bottom w:val="none" w:sz="0" w:space="0" w:color="auto"/>
        <w:right w:val="none" w:sz="0" w:space="0" w:color="auto"/>
      </w:divBdr>
    </w:div>
    <w:div w:id="1308700609">
      <w:bodyDiv w:val="1"/>
      <w:marLeft w:val="0"/>
      <w:marRight w:val="0"/>
      <w:marTop w:val="0"/>
      <w:marBottom w:val="0"/>
      <w:divBdr>
        <w:top w:val="none" w:sz="0" w:space="0" w:color="auto"/>
        <w:left w:val="none" w:sz="0" w:space="0" w:color="auto"/>
        <w:bottom w:val="none" w:sz="0" w:space="0" w:color="auto"/>
        <w:right w:val="none" w:sz="0" w:space="0" w:color="auto"/>
      </w:divBdr>
    </w:div>
    <w:div w:id="1359741742">
      <w:bodyDiv w:val="1"/>
      <w:marLeft w:val="0"/>
      <w:marRight w:val="0"/>
      <w:marTop w:val="0"/>
      <w:marBottom w:val="0"/>
      <w:divBdr>
        <w:top w:val="none" w:sz="0" w:space="0" w:color="auto"/>
        <w:left w:val="none" w:sz="0" w:space="0" w:color="auto"/>
        <w:bottom w:val="none" w:sz="0" w:space="0" w:color="auto"/>
        <w:right w:val="none" w:sz="0" w:space="0" w:color="auto"/>
      </w:divBdr>
    </w:div>
    <w:div w:id="1381981052">
      <w:bodyDiv w:val="1"/>
      <w:marLeft w:val="0"/>
      <w:marRight w:val="0"/>
      <w:marTop w:val="0"/>
      <w:marBottom w:val="0"/>
      <w:divBdr>
        <w:top w:val="none" w:sz="0" w:space="0" w:color="auto"/>
        <w:left w:val="none" w:sz="0" w:space="0" w:color="auto"/>
        <w:bottom w:val="none" w:sz="0" w:space="0" w:color="auto"/>
        <w:right w:val="none" w:sz="0" w:space="0" w:color="auto"/>
      </w:divBdr>
    </w:div>
    <w:div w:id="1707874950">
      <w:bodyDiv w:val="1"/>
      <w:marLeft w:val="0"/>
      <w:marRight w:val="0"/>
      <w:marTop w:val="0"/>
      <w:marBottom w:val="0"/>
      <w:divBdr>
        <w:top w:val="none" w:sz="0" w:space="0" w:color="auto"/>
        <w:left w:val="none" w:sz="0" w:space="0" w:color="auto"/>
        <w:bottom w:val="none" w:sz="0" w:space="0" w:color="auto"/>
        <w:right w:val="none" w:sz="0" w:space="0" w:color="auto"/>
      </w:divBdr>
    </w:div>
    <w:div w:id="1817793675">
      <w:bodyDiv w:val="1"/>
      <w:marLeft w:val="0"/>
      <w:marRight w:val="0"/>
      <w:marTop w:val="0"/>
      <w:marBottom w:val="0"/>
      <w:divBdr>
        <w:top w:val="none" w:sz="0" w:space="0" w:color="auto"/>
        <w:left w:val="none" w:sz="0" w:space="0" w:color="auto"/>
        <w:bottom w:val="none" w:sz="0" w:space="0" w:color="auto"/>
        <w:right w:val="none" w:sz="0" w:space="0" w:color="auto"/>
      </w:divBdr>
    </w:div>
    <w:div w:id="2028604529">
      <w:bodyDiv w:val="1"/>
      <w:marLeft w:val="0"/>
      <w:marRight w:val="0"/>
      <w:marTop w:val="0"/>
      <w:marBottom w:val="0"/>
      <w:divBdr>
        <w:top w:val="none" w:sz="0" w:space="0" w:color="auto"/>
        <w:left w:val="none" w:sz="0" w:space="0" w:color="auto"/>
        <w:bottom w:val="none" w:sz="0" w:space="0" w:color="auto"/>
        <w:right w:val="none" w:sz="0" w:space="0" w:color="auto"/>
      </w:divBdr>
    </w:div>
    <w:div w:id="2061006982">
      <w:bodyDiv w:val="1"/>
      <w:marLeft w:val="0"/>
      <w:marRight w:val="0"/>
      <w:marTop w:val="0"/>
      <w:marBottom w:val="0"/>
      <w:divBdr>
        <w:top w:val="none" w:sz="0" w:space="0" w:color="auto"/>
        <w:left w:val="none" w:sz="0" w:space="0" w:color="auto"/>
        <w:bottom w:val="none" w:sz="0" w:space="0" w:color="auto"/>
        <w:right w:val="none" w:sz="0" w:space="0" w:color="auto"/>
      </w:divBdr>
    </w:div>
    <w:div w:id="2075854074">
      <w:bodyDiv w:val="1"/>
      <w:marLeft w:val="0"/>
      <w:marRight w:val="0"/>
      <w:marTop w:val="0"/>
      <w:marBottom w:val="0"/>
      <w:divBdr>
        <w:top w:val="none" w:sz="0" w:space="0" w:color="auto"/>
        <w:left w:val="none" w:sz="0" w:space="0" w:color="auto"/>
        <w:bottom w:val="none" w:sz="0" w:space="0" w:color="auto"/>
        <w:right w:val="none" w:sz="0" w:space="0" w:color="auto"/>
      </w:divBdr>
    </w:div>
    <w:div w:id="21449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93C5B-DE76-47F1-BC72-F96FDFAE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5767</Words>
  <Characters>31720</Characters>
  <Application>Microsoft Office Word</Application>
  <DocSecurity>0</DocSecurity>
  <Lines>264</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anual de resultados físicos y financieros 2018</vt:lpstr>
      <vt:lpstr>Instrumento para elaborar el informe anual de resultados físicos y financieros 2018</vt:lpstr>
    </vt:vector>
  </TitlesOfParts>
  <Company>DIRECCIÓN NACIONAL DE DESARROLLO DE LA COMUNIDAD (DINADECO)</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de resultados físicos y financieros 2018</dc:title>
  <dc:subject/>
  <dc:creator>Diciembre 2018</dc:creator>
  <cp:keywords/>
  <dc:description/>
  <cp:lastModifiedBy>Mauricio Salazar</cp:lastModifiedBy>
  <cp:revision>7</cp:revision>
  <cp:lastPrinted>2019-01-22T16:17:00Z</cp:lastPrinted>
  <dcterms:created xsi:type="dcterms:W3CDTF">2019-02-05T16:19:00Z</dcterms:created>
  <dcterms:modified xsi:type="dcterms:W3CDTF">2019-02-05T16:58:00Z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